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3.png" ContentType="image/png"/>
  <Override PartName="/word/media/rId26.png" ContentType="image/png"/>
  <Override PartName="/word/media/rId33.png" ContentType="image/png"/>
  <Override PartName="/word/media/rId30.png" ContentType="image/png"/>
  <Override PartName="/word/media/rId42.png" ContentType="image/png"/>
  <Override PartName="/word/media/rId38.png" ContentType="image/png"/>
  <Override PartName="/word/media/rId63.png" ContentType="image/png"/>
  <Override PartName="/word/media/rId66.png" ContentType="image/png"/>
  <Override PartName="/word/media/rId57.png" ContentType="image/png"/>
  <Override PartName="/word/media/rId60.png" ContentType="image/png"/>
  <Override PartName="/word/media/rId69.png" ContentType="image/png"/>
  <Override PartName="/word/media/rId72.png" ContentType="image/png"/>
  <Override PartName="/word/media/rId54.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五章-方案验证与运营分析报告"/>
    <w:p>
      <w:pPr>
        <w:pStyle w:val="Heading1"/>
      </w:pPr>
      <w:r>
        <w:rPr>
          <w:rFonts w:hint="eastAsia"/>
        </w:rPr>
        <w:t xml:space="preserve">第五章</w:t>
      </w:r>
      <w:r>
        <w:t xml:space="preserve"> </w:t>
      </w:r>
      <w:r>
        <w:rPr>
          <w:rFonts w:hint="eastAsia"/>
        </w:rPr>
        <w:t xml:space="preserve">方案验证与运营分析报告</w:t>
      </w:r>
    </w:p>
    <w:bookmarkStart w:id="9" w:name="本章摘要"/>
    <w:p>
      <w:pPr>
        <w:pStyle w:val="Heading2"/>
      </w:pPr>
      <w:r>
        <w:rPr>
          <w:rFonts w:hint="eastAsia"/>
        </w:rPr>
        <w:t xml:space="preserve">本章摘要</w:t>
      </w:r>
    </w:p>
    <w:p>
      <w:pPr>
        <w:pStyle w:val="FirstParagraph"/>
      </w:pPr>
      <w:r>
        <w:rPr>
          <w:rFonts w:hint="eastAsia"/>
        </w:rPr>
        <w:t xml:space="preserve">本章用于说明三件事：第一，建立</w:t>
      </w:r>
      <w:r>
        <w:t xml:space="preserve"> 2025 </w:t>
      </w:r>
      <w:r>
        <w:rPr>
          <w:rFonts w:hint="eastAsia"/>
        </w:rPr>
        <w:t xml:space="preserve">年</w:t>
      </w:r>
      <w:r>
        <w:t xml:space="preserve"> 8,760 h </w:t>
      </w:r>
      <w:r>
        <w:rPr>
          <w:rFonts w:hint="eastAsia"/>
        </w:rPr>
        <w:t xml:space="preserve">年度运行场景，并从年度正常运行时段中截取一个连续</w:t>
      </w:r>
      <w:r>
        <w:t xml:space="preserve"> 48 h </w:t>
      </w:r>
      <w:r>
        <w:rPr>
          <w:rFonts w:hint="eastAsia"/>
        </w:rPr>
        <w:t xml:space="preserve">样本用于短窗横向比较；第二，在同一场景下比较纯电、纯氢、纯算和在线混合策略的消纳、收益、碳代理和可靠性表现；第三，通过年度连续仿真和敏感性分析判断在线混合策略的运行优势与剩余风险。</w:t>
      </w:r>
    </w:p>
    <w:p>
      <w:pPr>
        <w:pStyle w:val="BodyText"/>
      </w:pPr>
      <w:r>
        <w:rPr>
          <w:rFonts w:hint="eastAsia"/>
        </w:rPr>
        <w:t xml:space="preserve">本章结果属于模型仿真结果，不等同于可研概算、融资承诺或设备性能保证。电力外送价、氢价和算力服务价采用公开市场代理锚值，海洋服务价、容量、任务池、设备可用率、极端事件和控制参数仍需后续企业调研校准。当前年度基准只完成纯电资产基准，纯氢和纯算年度结果尚未补齐，因此年度部分只讨论“在线混合策略相对纯电基准”的改善幅度。</w:t>
      </w:r>
    </w:p>
    <w:bookmarkEnd w:id="9"/>
    <w:bookmarkStart w:id="16" w:name="场景设计与数据来源"/>
    <w:p>
      <w:pPr>
        <w:pStyle w:val="Heading2"/>
      </w:pPr>
      <w:r>
        <w:t xml:space="preserve">5.1 </w:t>
      </w:r>
      <w:r>
        <w:rPr>
          <w:rFonts w:hint="eastAsia"/>
        </w:rPr>
        <w:t xml:space="preserve">场景设计与数据来源</w:t>
      </w:r>
    </w:p>
    <w:p>
      <w:pPr>
        <w:pStyle w:val="FirstParagraph"/>
      </w:pPr>
      <w:r>
        <w:rPr>
          <w:rFonts w:hint="eastAsia"/>
        </w:rPr>
        <w:t xml:space="preserve">本章先说明模型在逐小时调度中使用哪些输入，再说明</w:t>
      </w:r>
      <w:r>
        <w:t xml:space="preserve"> 48 h </w:t>
      </w:r>
      <w:r>
        <w:rPr>
          <w:rFonts w:hint="eastAsia"/>
        </w:rPr>
        <w:t xml:space="preserve">短场景和</w:t>
      </w:r>
      <w:r>
        <w:t xml:space="preserve"> 8,760 h </w:t>
      </w:r>
      <w:r>
        <w:rPr>
          <w:rFonts w:hint="eastAsia"/>
        </w:rPr>
        <w:t xml:space="preserve">年度场景的构造方法。当前可用于比较的短窗为</w:t>
      </w:r>
      <w:r>
        <w:t xml:space="preserve"> 48 </w:t>
      </w:r>
      <w:r>
        <w:rPr>
          <w:rFonts w:hint="eastAsia"/>
        </w:rPr>
        <w:t xml:space="preserve">h，并非</w:t>
      </w:r>
      <w:r>
        <w:t xml:space="preserve"> 168 h </w:t>
      </w:r>
      <w:r>
        <w:rPr>
          <w:rFonts w:hint="eastAsia"/>
        </w:rPr>
        <w:t xml:space="preserve">典型周；后续若需要典型周结果，应重新选取或生成</w:t>
      </w:r>
      <w:r>
        <w:t xml:space="preserve"> 168 h </w:t>
      </w:r>
      <w:r>
        <w:rPr>
          <w:rFonts w:hint="eastAsia"/>
        </w:rPr>
        <w:t xml:space="preserve">场景，并按同一口径复算。</w:t>
      </w:r>
    </w:p>
    <w:bookmarkStart w:id="10" w:name="输入数据结构"/>
    <w:p>
      <w:pPr>
        <w:pStyle w:val="Heading3"/>
      </w:pPr>
      <w:r>
        <w:t xml:space="preserve">5.1.1 </w:t>
      </w:r>
      <w:r>
        <w:rPr>
          <w:rFonts w:hint="eastAsia"/>
        </w:rPr>
        <w:t xml:space="preserve">输入数据结构</w:t>
      </w:r>
    </w:p>
    <w:p>
      <w:pPr>
        <w:pStyle w:val="FirstParagraph"/>
      </w:pPr>
      <w:r>
        <w:rPr>
          <w:rFonts w:hint="eastAsia"/>
        </w:rPr>
        <w:t xml:space="preserve">调度模型的输入分为资源、设备、负荷、市场、状态和事件六类：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输入类别</w:t>
            </w:r>
          </w:p>
        </w:tc>
        <w:tc>
          <w:tcPr/>
          <w:p>
            <w:pPr>
              <w:pStyle w:val="Compact"/>
            </w:pPr>
            <w:r>
              <w:rPr>
                <w:rFonts w:hint="eastAsia"/>
              </w:rPr>
              <w:t xml:space="preserve">主要字段</w:t>
            </w:r>
          </w:p>
        </w:tc>
        <w:tc>
          <w:tcPr/>
          <w:p>
            <w:pPr>
              <w:pStyle w:val="Compact"/>
            </w:pPr>
            <w:r>
              <w:rPr>
                <w:rFonts w:hint="eastAsia"/>
              </w:rPr>
              <w:t xml:space="preserve">当前来源或口径</w:t>
            </w:r>
          </w:p>
        </w:tc>
        <w:tc>
          <w:tcPr/>
          <w:p>
            <w:pPr>
              <w:pStyle w:val="Compact"/>
            </w:pPr>
            <w:r>
              <w:rPr>
                <w:rFonts w:hint="eastAsia"/>
              </w:rPr>
              <w:t xml:space="preserve">状态</w:t>
            </w:r>
          </w:p>
        </w:tc>
      </w:tr>
      <w:tr>
        <w:tc>
          <w:tcPr/>
          <w:p>
            <w:pPr>
              <w:pStyle w:val="Compact"/>
            </w:pPr>
            <w:r>
              <w:rPr>
                <w:rFonts w:hint="eastAsia"/>
              </w:rPr>
              <w:t xml:space="preserve">源侧资源</w:t>
            </w:r>
          </w:p>
        </w:tc>
        <w:tc>
          <w:tcPr/>
          <w:p>
            <w:pPr>
              <w:pStyle w:val="Compact"/>
            </w:pPr>
            <w:r>
              <w:rPr>
                <w:rFonts w:hint="eastAsia"/>
              </w:rPr>
              <w:t xml:space="preserve">风速、辐照度、气温、潮流速度</w:t>
            </w:r>
          </w:p>
        </w:tc>
        <w:tc>
          <w:tcPr/>
          <w:p>
            <w:pPr>
              <w:pStyle w:val="Compact"/>
            </w:pPr>
            <w:r>
              <w:t xml:space="preserve">NASA POWER </w:t>
            </w:r>
            <w:r>
              <w:rPr>
                <w:rFonts w:hint="eastAsia"/>
              </w:rPr>
              <w:t xml:space="preserve">小时风速/辐照度/气温；潮流速度由内部形状扩展</w:t>
            </w:r>
          </w:p>
        </w:tc>
        <w:tc>
          <w:tcPr/>
          <w:p>
            <w:pPr>
              <w:pStyle w:val="Compact"/>
            </w:pPr>
            <w:r>
              <w:t xml:space="preserve">NASA </w:t>
            </w:r>
            <w:r>
              <w:rPr>
                <w:rFonts w:hint="eastAsia"/>
              </w:rPr>
              <w:t xml:space="preserve">为</w:t>
            </w:r>
            <w:r>
              <w:t xml:space="preserve"> </w:t>
            </w:r>
            <w:r>
              <w:rPr>
                <w:rFonts w:hint="eastAsia"/>
                <w:b/>
                <w:bCs/>
              </w:rPr>
              <w:t xml:space="preserve">[政府官网/政府科研机构公开数据]</w:t>
            </w:r>
            <w:r>
              <w:rPr>
                <w:rFonts w:hint="eastAsia"/>
              </w:rPr>
              <w:t xml:space="preserve">；潮流为</w:t>
            </w:r>
            <w:r>
              <w:t xml:space="preserve"> </w:t>
            </w:r>
            <w:r>
              <w:rPr>
                <w:rFonts w:hint="eastAsia"/>
                <w:b/>
                <w:bCs/>
              </w:rPr>
              <w:t xml:space="preserve">[假设值，待企业调研校准]</w:t>
            </w:r>
          </w:p>
        </w:tc>
      </w:tr>
      <w:tr>
        <w:tc>
          <w:tcPr/>
          <w:p>
            <w:pPr>
              <w:pStyle w:val="Compact"/>
            </w:pPr>
            <w:r>
              <w:rPr>
                <w:rFonts w:hint="eastAsia"/>
              </w:rPr>
              <w:t xml:space="preserve">设备容量</w:t>
            </w:r>
          </w:p>
        </w:tc>
        <w:tc>
          <w:tcPr/>
          <w:p>
            <w:pPr>
              <w:pStyle w:val="Compact"/>
            </w:pPr>
            <w:r>
              <w:rPr>
                <w:rFonts w:hint="eastAsia"/>
              </w:rPr>
              <w:t xml:space="preserve">风电、海缆、电化学储能、电解槽、电氢转换、算力设施</w:t>
            </w:r>
          </w:p>
        </w:tc>
        <w:tc>
          <w:tcPr/>
          <w:p>
            <w:pPr>
              <w:pStyle w:val="Compact"/>
            </w:pPr>
            <w:r>
              <w:rPr>
                <w:rFonts w:hint="eastAsia"/>
              </w:rPr>
              <w:t xml:space="preserve">第四章模型配置与本章场景参数</w:t>
            </w:r>
          </w:p>
        </w:tc>
        <w:tc>
          <w:tcPr/>
          <w:p>
            <w:pPr>
              <w:pStyle w:val="Compact"/>
            </w:pPr>
            <w:r>
              <w:rPr>
                <w:rFonts w:hint="eastAsia"/>
                <w:b/>
                <w:bCs/>
              </w:rPr>
              <w:t xml:space="preserve">[假设值，待企业调研校准]</w:t>
            </w:r>
          </w:p>
        </w:tc>
      </w:tr>
      <w:tr>
        <w:tc>
          <w:tcPr/>
          <w:p>
            <w:pPr>
              <w:pStyle w:val="Compact"/>
            </w:pPr>
            <w:r>
              <w:rPr>
                <w:rFonts w:hint="eastAsia"/>
              </w:rPr>
              <w:t xml:space="preserve">负荷需求</w:t>
            </w:r>
          </w:p>
        </w:tc>
        <w:tc>
          <w:tcPr/>
          <w:p>
            <w:pPr>
              <w:pStyle w:val="Compact"/>
            </w:pPr>
            <w:r>
              <w:rPr>
                <w:rFonts w:hint="eastAsia"/>
              </w:rPr>
              <w:t xml:space="preserve">海洋关键负荷、柔性算力任务池</w:t>
            </w:r>
          </w:p>
        </w:tc>
        <w:tc>
          <w:tcPr/>
          <w:p>
            <w:pPr>
              <w:pStyle w:val="Compact"/>
            </w:pPr>
            <w:r>
              <w:t xml:space="preserve">C5 </w:t>
            </w:r>
            <w:r>
              <w:rPr>
                <w:rFonts w:hint="eastAsia"/>
              </w:rPr>
              <w:t xml:space="preserve">场景构造器</w:t>
            </w:r>
          </w:p>
        </w:tc>
        <w:tc>
          <w:tcPr/>
          <w:p>
            <w:pPr>
              <w:pStyle w:val="Compact"/>
            </w:pPr>
            <w:r>
              <w:rPr>
                <w:rFonts w:hint="eastAsia"/>
                <w:b/>
                <w:bCs/>
              </w:rPr>
              <w:t xml:space="preserve">[假设值，待企业调研校准]</w:t>
            </w:r>
          </w:p>
        </w:tc>
      </w:tr>
      <w:tr>
        <w:tc>
          <w:tcPr/>
          <w:p>
            <w:pPr>
              <w:pStyle w:val="Compact"/>
            </w:pPr>
            <w:r>
              <w:rPr>
                <w:rFonts w:hint="eastAsia"/>
              </w:rPr>
              <w:t xml:space="preserve">市场价格</w:t>
            </w:r>
          </w:p>
        </w:tc>
        <w:tc>
          <w:tcPr/>
          <w:p>
            <w:pPr>
              <w:pStyle w:val="Compact"/>
            </w:pPr>
            <w:r>
              <w:rPr>
                <w:rFonts w:hint="eastAsia"/>
              </w:rPr>
              <w:t xml:space="preserve">电力外送价、氢价、算力服务价、海洋服务价</w:t>
            </w:r>
          </w:p>
        </w:tc>
        <w:tc>
          <w:tcPr/>
          <w:p>
            <w:pPr>
              <w:pStyle w:val="Compact"/>
            </w:pPr>
            <w:r>
              <w:rPr>
                <w:rFonts w:hint="eastAsia"/>
              </w:rPr>
              <w:t xml:space="preserve">电力、氢和算力采用公开市场代理锚值；海洋服务价为待校准假设值</w:t>
            </w:r>
          </w:p>
        </w:tc>
        <w:tc>
          <w:tcPr/>
          <w:p>
            <w:pPr>
              <w:pStyle w:val="Compact"/>
            </w:pPr>
            <w:r>
              <w:rPr>
                <w:rFonts w:hint="eastAsia"/>
              </w:rPr>
              <w:t xml:space="preserve">电/氢/算力为公开代理锚值，海洋服务价为假设值；均非项目合同价</w:t>
            </w:r>
          </w:p>
        </w:tc>
      </w:tr>
      <w:tr>
        <w:tc>
          <w:tcPr/>
          <w:p>
            <w:pPr>
              <w:pStyle w:val="Compact"/>
            </w:pPr>
            <w:r>
              <w:rPr>
                <w:rFonts w:hint="eastAsia"/>
              </w:rPr>
              <w:t xml:space="preserve">初始状态</w:t>
            </w:r>
          </w:p>
        </w:tc>
        <w:tc>
          <w:tcPr/>
          <w:p>
            <w:pPr>
              <w:pStyle w:val="Compact"/>
            </w:pPr>
            <w:r>
              <w:rPr>
                <w:rFonts w:hint="eastAsia"/>
              </w:rPr>
              <w:t xml:space="preserve">储能初始电量、氢库存、电解槽状态、算力状态</w:t>
            </w:r>
          </w:p>
        </w:tc>
        <w:tc>
          <w:tcPr/>
          <w:p>
            <w:pPr>
              <w:pStyle w:val="Compact"/>
            </w:pPr>
            <w:r>
              <w:rPr>
                <w:rFonts w:hint="eastAsia"/>
              </w:rPr>
              <w:t xml:space="preserve">年度从储能初始电量</w:t>
            </w:r>
            <w:r>
              <w:t xml:space="preserve"> 80 </w:t>
            </w:r>
            <w:r>
              <w:rPr>
                <w:rFonts w:hint="eastAsia"/>
              </w:rPr>
              <w:t xml:space="preserve">MWh、氢库存</w:t>
            </w:r>
            <w:r>
              <w:t xml:space="preserve"> 0 kg </w:t>
            </w:r>
            <w:r>
              <w:rPr>
                <w:rFonts w:hint="eastAsia"/>
              </w:rPr>
              <w:t xml:space="preserve">开始</w:t>
            </w:r>
          </w:p>
        </w:tc>
        <w:tc>
          <w:tcPr/>
          <w:p>
            <w:pPr>
              <w:pStyle w:val="Compact"/>
            </w:pPr>
            <w:r>
              <w:rPr>
                <w:rFonts w:hint="eastAsia"/>
              </w:rPr>
              <w:t xml:space="preserve">不在事件前外部注入储能电量状态或氢</w:t>
            </w:r>
          </w:p>
        </w:tc>
      </w:tr>
      <w:tr>
        <w:tc>
          <w:tcPr/>
          <w:p>
            <w:pPr>
              <w:pStyle w:val="Compact"/>
            </w:pPr>
            <w:r>
              <w:rPr>
                <w:rFonts w:hint="eastAsia"/>
              </w:rPr>
              <w:t xml:space="preserve">极端事件</w:t>
            </w:r>
          </w:p>
        </w:tc>
        <w:tc>
          <w:tcPr/>
          <w:p>
            <w:pPr>
              <w:pStyle w:val="Compact"/>
            </w:pPr>
            <w:r>
              <w:rPr>
                <w:rFonts w:hint="eastAsia"/>
              </w:rPr>
              <w:t xml:space="preserve">台风预警、过境、恢复状态，设备降额</w:t>
            </w:r>
          </w:p>
        </w:tc>
        <w:tc>
          <w:tcPr/>
          <w:p>
            <w:pPr>
              <w:pStyle w:val="Compact"/>
            </w:pPr>
            <w:r>
              <w:rPr>
                <w:rFonts w:hint="eastAsia"/>
              </w:rPr>
              <w:t xml:space="preserve">年度代理事件</w:t>
            </w:r>
          </w:p>
        </w:tc>
        <w:tc>
          <w:tcPr/>
          <w:p>
            <w:pPr>
              <w:pStyle w:val="Compact"/>
            </w:pPr>
            <w:r>
              <w:rPr>
                <w:rFonts w:hint="eastAsia"/>
                <w:b/>
                <w:bCs/>
              </w:rPr>
              <w:t xml:space="preserve">[假设值，待企业调研校准]</w:t>
            </w:r>
            <w:r>
              <w:rPr>
                <w:rFonts w:hint="eastAsia"/>
              </w:rPr>
              <w:t xml:space="preserve">，不是历史事件复刻</w:t>
            </w:r>
          </w:p>
        </w:tc>
      </w:tr>
    </w:tbl>
    <w:p>
      <w:pPr>
        <w:pStyle w:val="BodyText"/>
      </w:pPr>
      <w:r>
        <w:rPr>
          <w:rFonts w:hint="eastAsia"/>
        </w:rPr>
        <w:t xml:space="preserve">主比较口径下，算力全部作为可中断柔性负荷处理，未执行的算力任务不计入关键负荷缺供。若后续合同中包含不可中断服务承诺，应单独设置刚性算力敏感性场景，并与本章结果分开解释。</w:t>
      </w:r>
    </w:p>
    <w:bookmarkEnd w:id="10"/>
    <w:bookmarkStart w:id="14" w:name="正常典型-48-h-场景设计"/>
    <w:p>
      <w:pPr>
        <w:pStyle w:val="Heading3"/>
      </w:pPr>
      <w:r>
        <w:t xml:space="preserve">5.1.2 </w:t>
      </w:r>
      <w:r>
        <w:rPr>
          <w:rFonts w:hint="eastAsia"/>
        </w:rPr>
        <w:t xml:space="preserve">正常典型</w:t>
      </w:r>
      <w:r>
        <w:t xml:space="preserve"> 48 h </w:t>
      </w:r>
      <w:r>
        <w:rPr>
          <w:rFonts w:hint="eastAsia"/>
        </w:rPr>
        <w:t xml:space="preserve">场景设计</w:t>
      </w:r>
    </w:p>
    <w:p>
      <w:pPr>
        <w:pStyle w:val="FirstParagraph"/>
      </w:pPr>
      <w:r>
        <w:t xml:space="preserve">48 h </w:t>
      </w:r>
      <w:r>
        <w:rPr>
          <w:rFonts w:hint="eastAsia"/>
        </w:rPr>
        <w:t xml:space="preserve">场景不是人工设定的压力测试，而是从</w:t>
      </w:r>
      <w:r>
        <w:t xml:space="preserve"> 2025 </w:t>
      </w:r>
      <w:r>
        <w:rPr>
          <w:rFonts w:hint="eastAsia"/>
        </w:rPr>
        <w:t xml:space="preserve">年度正常运行序列中筛选出的连续样本。筛选规则是选择最接近年度正常状态中位特征的</w:t>
      </w:r>
      <w:r>
        <w:t xml:space="preserve"> 48 h </w:t>
      </w:r>
      <w:r>
        <w:rPr>
          <w:rFonts w:hint="eastAsia"/>
        </w:rPr>
        <w:t xml:space="preserve">窗口，特征包括可用新能源均值、波动性、风光潮分项出力和算力需求。当前选中的窗口为</w:t>
      </w:r>
      <w:r>
        <w:t xml:space="preserve"> 2025-01-24 00:00 </w:t>
      </w:r>
      <w:r>
        <w:rPr>
          <w:rFonts w:hint="eastAsia"/>
        </w:rPr>
        <w:t xml:space="preserve">至</w:t>
      </w:r>
      <w:r>
        <w:t xml:space="preserve"> 2025-01-25 </w:t>
      </w:r>
      <w:r>
        <w:rPr>
          <w:rFonts w:hint="eastAsia"/>
        </w:rPr>
        <w:t xml:space="preserve">23:00，48</w:t>
      </w:r>
      <w:r>
        <w:t xml:space="preserve"> </w:t>
      </w:r>
      <w:r>
        <w:rPr>
          <w:rFonts w:hint="eastAsia"/>
        </w:rPr>
        <w:t xml:space="preserve">个小时均处于正常运行状态。该窗口只用于短窗横向比较，不代表年度结论。</w:t>
      </w:r>
    </w:p>
    <w:p>
      <w:pPr>
        <w:pStyle w:val="BodyText"/>
      </w:pPr>
      <w:r>
        <w:rPr>
          <w:rFonts w:hint="eastAsia"/>
        </w:rPr>
        <w:t xml:space="preserve">该</w:t>
      </w:r>
      <w:r>
        <w:t xml:space="preserve"> 48 h </w:t>
      </w:r>
      <w:r>
        <w:rPr>
          <w:rFonts w:hint="eastAsia"/>
        </w:rPr>
        <w:t xml:space="preserve">样本的可用新能源合计为</w:t>
      </w:r>
      <w:r>
        <w:t xml:space="preserve"> 8,450.799 </w:t>
      </w:r>
      <w:r>
        <w:rPr>
          <w:rFonts w:hint="eastAsia"/>
        </w:rPr>
        <w:t xml:space="preserve">MWh。输入风况和负荷变化可分为四个阶段理解：</w:t>
      </w:r>
    </w:p>
    <w:p>
      <w:pPr>
        <w:numPr>
          <w:ilvl w:val="0"/>
          <w:numId w:val="1001"/>
        </w:numPr>
      </w:pPr>
      <w:r>
        <w:rPr>
          <w:rFonts w:hint="eastAsia"/>
        </w:rPr>
        <w:t xml:space="preserve">第</w:t>
      </w:r>
      <w:r>
        <w:t xml:space="preserve"> 1-12 </w:t>
      </w:r>
      <w:r>
        <w:rPr>
          <w:rFonts w:hint="eastAsia"/>
        </w:rPr>
        <w:t xml:space="preserve">小时为首日白天至傍晚，场景平均风速为</w:t>
      </w:r>
      <w:r>
        <w:t xml:space="preserve"> 4.906-7.056 </w:t>
      </w:r>
      <w:r>
        <w:rPr>
          <w:rFonts w:hint="eastAsia"/>
        </w:rPr>
        <w:t xml:space="preserve">m/s，公开数据</w:t>
      </w:r>
      <w:r>
        <w:t xml:space="preserve"> 50 m </w:t>
      </w:r>
      <w:r>
        <w:rPr>
          <w:rFonts w:hint="eastAsia"/>
        </w:rPr>
        <w:t xml:space="preserve">风速为</w:t>
      </w:r>
      <w:r>
        <w:t xml:space="preserve"> 5.960-8.480 </w:t>
      </w:r>
      <w:r>
        <w:rPr>
          <w:rFonts w:hint="eastAsia"/>
        </w:rPr>
        <w:t xml:space="preserve">m/s，辐照度从</w:t>
      </w:r>
      <w:r>
        <w:t xml:space="preserve"> 669.670 Wh/m2 </w:t>
      </w:r>
      <w:r>
        <w:rPr>
          <w:rFonts w:hint="eastAsia"/>
        </w:rPr>
        <w:t xml:space="preserve">逐步降至夜间</w:t>
      </w:r>
      <w:r>
        <w:t xml:space="preserve"> </w:t>
      </w:r>
      <w:r>
        <w:rPr>
          <w:rFonts w:hint="eastAsia"/>
        </w:rPr>
        <w:t xml:space="preserve">0，潮流速度代理为</w:t>
      </w:r>
      <w:r>
        <w:t xml:space="preserve"> 0.900-2.200 </w:t>
      </w:r>
      <w:r>
        <w:rPr>
          <w:rFonts w:hint="eastAsia"/>
        </w:rPr>
        <w:t xml:space="preserve">m/s。在线混合策略在这一阶段利用新能源</w:t>
      </w:r>
      <w:r>
        <w:t xml:space="preserve"> 2,694.794 </w:t>
      </w:r>
      <w:r>
        <w:rPr>
          <w:rFonts w:hint="eastAsia"/>
        </w:rPr>
        <w:t xml:space="preserve">MWh，无弃能，主要用于电力外送、制氢和算力三类出口。</w:t>
      </w:r>
    </w:p>
    <w:p>
      <w:pPr>
        <w:numPr>
          <w:ilvl w:val="0"/>
          <w:numId w:val="1001"/>
        </w:numPr>
      </w:pPr>
      <w:r>
        <w:rPr>
          <w:rFonts w:hint="eastAsia"/>
        </w:rPr>
        <w:t xml:space="preserve">第</w:t>
      </w:r>
      <w:r>
        <w:t xml:space="preserve"> 13-24 </w:t>
      </w:r>
      <w:r>
        <w:rPr>
          <w:rFonts w:hint="eastAsia"/>
        </w:rPr>
        <w:t xml:space="preserve">小时为首日夜间，辐照度基本为</w:t>
      </w:r>
      <w:r>
        <w:t xml:space="preserve"> </w:t>
      </w:r>
      <w:r>
        <w:rPr>
          <w:rFonts w:hint="eastAsia"/>
        </w:rPr>
        <w:t xml:space="preserve">0，场景平均风速升至</w:t>
      </w:r>
      <w:r>
        <w:t xml:space="preserve"> 5.637-8.072 </w:t>
      </w:r>
      <w:r>
        <w:rPr>
          <w:rFonts w:hint="eastAsia"/>
        </w:rPr>
        <w:t xml:space="preserve">m/s，潮流速度代理为</w:t>
      </w:r>
      <w:r>
        <w:t xml:space="preserve"> 0.300-1.500 </w:t>
      </w:r>
      <w:r>
        <w:rPr>
          <w:rFonts w:hint="eastAsia"/>
        </w:rPr>
        <w:t xml:space="preserve">m/s。该阶段可用新能源为</w:t>
      </w:r>
      <w:r>
        <w:t xml:space="preserve"> 1,689.987 </w:t>
      </w:r>
      <w:r>
        <w:rPr>
          <w:rFonts w:hint="eastAsia"/>
        </w:rPr>
        <w:t xml:space="preserve">MWh，全部被系统吸收，说明夜间仍依赖风电和潮流维持多出口调度。</w:t>
      </w:r>
    </w:p>
    <w:p>
      <w:pPr>
        <w:numPr>
          <w:ilvl w:val="0"/>
          <w:numId w:val="1001"/>
        </w:numPr>
      </w:pPr>
      <w:r>
        <w:rPr>
          <w:rFonts w:hint="eastAsia"/>
        </w:rPr>
        <w:t xml:space="preserve">第</w:t>
      </w:r>
      <w:r>
        <w:t xml:space="preserve"> 25-36 </w:t>
      </w:r>
      <w:r>
        <w:rPr>
          <w:rFonts w:hint="eastAsia"/>
        </w:rPr>
        <w:t xml:space="preserve">小时为次日白天，场景平均风速为</w:t>
      </w:r>
      <w:r>
        <w:t xml:space="preserve"> 6.104-8.169 </w:t>
      </w:r>
      <w:r>
        <w:rPr>
          <w:rFonts w:hint="eastAsia"/>
        </w:rPr>
        <w:t xml:space="preserve">m/s，辐照度最高</w:t>
      </w:r>
      <w:r>
        <w:t xml:space="preserve"> 665.650 </w:t>
      </w:r>
      <w:r>
        <w:rPr>
          <w:rFonts w:hint="eastAsia"/>
        </w:rPr>
        <w:t xml:space="preserve">Wh/m2，潮流速度代理为</w:t>
      </w:r>
      <w:r>
        <w:t xml:space="preserve"> 0.300-0.800 </w:t>
      </w:r>
      <w:r>
        <w:rPr>
          <w:rFonts w:hint="eastAsia"/>
        </w:rPr>
        <w:t xml:space="preserve">m/s。该阶段可用新能源为</w:t>
      </w:r>
      <w:r>
        <w:t xml:space="preserve"> 1,954.352 </w:t>
      </w:r>
      <w:r>
        <w:rPr>
          <w:rFonts w:hint="eastAsia"/>
        </w:rPr>
        <w:t xml:space="preserve">MWh，在线混合策略仍实现零弃能。</w:t>
      </w:r>
    </w:p>
    <w:p>
      <w:pPr>
        <w:numPr>
          <w:ilvl w:val="0"/>
          <w:numId w:val="1001"/>
        </w:numPr>
      </w:pPr>
      <w:r>
        <w:rPr>
          <w:rFonts w:hint="eastAsia"/>
        </w:rPr>
        <w:t xml:space="preserve">第</w:t>
      </w:r>
      <w:r>
        <w:t xml:space="preserve"> 37-48 </w:t>
      </w:r>
      <w:r>
        <w:rPr>
          <w:rFonts w:hint="eastAsia"/>
        </w:rPr>
        <w:t xml:space="preserve">小时为次日下午至夜间，公开数据</w:t>
      </w:r>
      <w:r>
        <w:t xml:space="preserve"> 50 m </w:t>
      </w:r>
      <w:r>
        <w:rPr>
          <w:rFonts w:hint="eastAsia"/>
        </w:rPr>
        <w:t xml:space="preserve">风速从</w:t>
      </w:r>
      <w:r>
        <w:t xml:space="preserve"> 5.670 m/s </w:t>
      </w:r>
      <w:r>
        <w:rPr>
          <w:rFonts w:hint="eastAsia"/>
        </w:rPr>
        <w:t xml:space="preserve">上升到</w:t>
      </w:r>
      <w:r>
        <w:t xml:space="preserve"> 10.890 </w:t>
      </w:r>
      <w:r>
        <w:rPr>
          <w:rFonts w:hint="eastAsia"/>
        </w:rPr>
        <w:t xml:space="preserve">m/s，光照接近结束，潮流速度代理为</w:t>
      </w:r>
      <w:r>
        <w:t xml:space="preserve"> 0.400-1.500 </w:t>
      </w:r>
      <w:r>
        <w:rPr>
          <w:rFonts w:hint="eastAsia"/>
        </w:rPr>
        <w:t xml:space="preserve">m/s。该阶段可用新能源为</w:t>
      </w:r>
      <w:r>
        <w:t xml:space="preserve"> 2,111.666 </w:t>
      </w:r>
      <w:r>
        <w:rPr>
          <w:rFonts w:hint="eastAsia"/>
        </w:rPr>
        <w:t xml:space="preserve">MWh，其中</w:t>
      </w:r>
      <w:r>
        <w:t xml:space="preserve"> 1,839.535 MWh </w:t>
      </w:r>
      <w:r>
        <w:rPr>
          <w:rFonts w:hint="eastAsia"/>
        </w:rPr>
        <w:t xml:space="preserve">被利用，弃能</w:t>
      </w:r>
      <w:r>
        <w:t xml:space="preserve"> 272.130 </w:t>
      </w:r>
      <w:r>
        <w:rPr>
          <w:rFonts w:hint="eastAsia"/>
        </w:rPr>
        <w:t xml:space="preserve">MWh，说明短窗弃能主要集中在最后一段高风速、低光照且出口约束趋紧的时段。</w:t>
      </w:r>
    </w:p>
    <w:p>
      <w:pPr>
        <w:pStyle w:val="FirstParagraph"/>
      </w:pPr>
      <w:r>
        <w:rPr>
          <w:rFonts w:hint="eastAsia"/>
        </w:rPr>
        <w:t xml:space="preserve">图</w:t>
      </w:r>
      <w:r>
        <w:t xml:space="preserve"> 5-1 </w:t>
      </w:r>
      <w:r>
        <w:rPr>
          <w:rFonts w:hint="eastAsia"/>
        </w:rPr>
        <w:t xml:space="preserve">展示了该</w:t>
      </w:r>
      <w:r>
        <w:t xml:space="preserve"> 48 h </w:t>
      </w:r>
      <w:r>
        <w:rPr>
          <w:rFonts w:hint="eastAsia"/>
        </w:rPr>
        <w:t xml:space="preserve">样本的风速、风光潮可用功率和算力到达量，便于对应上文四个阶段。</w:t>
      </w:r>
    </w:p>
    <w:p>
      <w:pPr>
        <w:pStyle w:val="CaptionedFigure"/>
      </w:pPr>
      <w:r>
        <w:drawing>
          <wp:inline>
            <wp:extent cx="5334000" cy="4157038"/>
            <wp:effectExtent b="0" l="0" r="0" t="0"/>
            <wp:docPr descr="图5-1 正常典型48 h场景输入" title="" id="12" name="Picture"/>
            <a:graphic>
              <a:graphicData uri="http://schemas.openxmlformats.org/drawingml/2006/picture">
                <pic:pic>
                  <pic:nvPicPr>
                    <pic:cNvPr descr="figures/c5_51_48h_scenario_inputs.png" id="13" name="Picture"/>
                    <pic:cNvPicPr>
                      <a:picLocks noChangeArrowheads="1" noChangeAspect="1"/>
                    </pic:cNvPicPr>
                  </pic:nvPicPr>
                  <pic:blipFill>
                    <a:blip r:embed="rId11"/>
                    <a:stretch>
                      <a:fillRect/>
                    </a:stretch>
                  </pic:blipFill>
                  <pic:spPr bwMode="auto">
                    <a:xfrm>
                      <a:off x="0" y="0"/>
                      <a:ext cx="5334000" cy="4157038"/>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正常典型48</w:t>
      </w:r>
      <w:r>
        <w:t xml:space="preserve"> </w:t>
      </w:r>
      <w:r>
        <w:rPr>
          <w:rFonts w:hint="eastAsia"/>
        </w:rPr>
        <w:t xml:space="preserve">h场景输入</w:t>
      </w:r>
    </w:p>
    <w:bookmarkEnd w:id="14"/>
    <w:bookmarkStart w:id="15" w:name="年度-8760-h-场景设计"/>
    <w:p>
      <w:pPr>
        <w:pStyle w:val="Heading3"/>
      </w:pPr>
      <w:r>
        <w:t xml:space="preserve">5.1.3 </w:t>
      </w:r>
      <w:r>
        <w:rPr>
          <w:rFonts w:hint="eastAsia"/>
        </w:rPr>
        <w:t xml:space="preserve">年度</w:t>
      </w:r>
      <w:r>
        <w:t xml:space="preserve"> 8,760 h </w:t>
      </w:r>
      <w:r>
        <w:rPr>
          <w:rFonts w:hint="eastAsia"/>
        </w:rPr>
        <w:t xml:space="preserve">场景设计</w:t>
      </w:r>
    </w:p>
    <w:p>
      <w:pPr>
        <w:pStyle w:val="FirstParagraph"/>
      </w:pPr>
      <w:r>
        <w:rPr>
          <w:rFonts w:hint="eastAsia"/>
        </w:rPr>
        <w:t xml:space="preserve">年度场景以</w:t>
      </w:r>
      <w:r>
        <w:t xml:space="preserve"> 2025 </w:t>
      </w:r>
      <w:r>
        <w:rPr>
          <w:rFonts w:hint="eastAsia"/>
        </w:rPr>
        <w:t xml:space="preserve">年逐小时风、光、潮资源序列为基础，共</w:t>
      </w:r>
      <w:r>
        <w:t xml:space="preserve"> 8,760 </w:t>
      </w:r>
      <w:r>
        <w:rPr>
          <w:rFonts w:hint="eastAsia"/>
        </w:rPr>
        <w:t xml:space="preserve">h。风、光、潮发电量由第四章设备模型结合逐时资源条件计算，不预设年度总发电量。年度序列中嵌入一个极端天气代理事件，用于检验系统在预警、过境和恢复阶段的连续运行能力。</w:t>
      </w:r>
    </w:p>
    <w:p>
      <w:pPr>
        <w:pStyle w:val="BodyText"/>
      </w:pPr>
      <w:r>
        <w:rPr>
          <w:rFonts w:hint="eastAsia"/>
        </w:rPr>
        <w:t xml:space="preserve">年度仿真遵守以下因果边界：</w:t>
      </w:r>
    </w:p>
    <w:p>
      <w:pPr>
        <w:numPr>
          <w:ilvl w:val="0"/>
          <w:numId w:val="1002"/>
        </w:numPr>
      </w:pPr>
      <w:r>
        <w:rPr>
          <w:rFonts w:hint="eastAsia"/>
        </w:rPr>
        <w:t xml:space="preserve">每小时只继承上一小时末的储能、氢库存、电解槽、算力和氢转电状态；</w:t>
      </w:r>
    </w:p>
    <w:p>
      <w:pPr>
        <w:numPr>
          <w:ilvl w:val="0"/>
          <w:numId w:val="1002"/>
        </w:numPr>
      </w:pPr>
      <w:r>
        <w:rPr>
          <w:rFonts w:hint="eastAsia"/>
        </w:rPr>
        <w:t xml:space="preserve">计划窗口只执行首小时；</w:t>
      </w:r>
    </w:p>
    <w:p>
      <w:pPr>
        <w:numPr>
          <w:ilvl w:val="0"/>
          <w:numId w:val="1002"/>
        </w:numPr>
      </w:pPr>
      <w:r>
        <w:rPr>
          <w:rFonts w:hint="eastAsia"/>
        </w:rPr>
        <w:t xml:space="preserve">源侧未来真实出力不进入计划；</w:t>
      </w:r>
    </w:p>
    <w:p>
      <w:pPr>
        <w:numPr>
          <w:ilvl w:val="0"/>
          <w:numId w:val="1002"/>
        </w:numPr>
      </w:pPr>
      <w:r>
        <w:rPr>
          <w:rFonts w:hint="eastAsia"/>
        </w:rPr>
        <w:t xml:space="preserve">台风事件前不重置储能电量状态、不额外注入氢；</w:t>
      </w:r>
    </w:p>
    <w:p>
      <w:pPr>
        <w:numPr>
          <w:ilvl w:val="0"/>
          <w:numId w:val="1002"/>
        </w:numPr>
      </w:pPr>
      <w:r>
        <w:rPr>
          <w:rFonts w:hint="eastAsia"/>
        </w:rPr>
        <w:t xml:space="preserve">氢库存只有物理非负约束，不设置运营储备下限；</w:t>
      </w:r>
    </w:p>
    <w:p>
      <w:pPr>
        <w:numPr>
          <w:ilvl w:val="0"/>
          <w:numId w:val="1002"/>
        </w:numPr>
      </w:pPr>
      <w:r>
        <w:rPr>
          <w:rFonts w:hint="eastAsia"/>
        </w:rPr>
        <w:t xml:space="preserve">储能储备目标是可回退的调度约束，不代表模型外补能。</w:t>
      </w:r>
    </w:p>
    <w:p>
      <w:pPr>
        <w:pStyle w:val="FirstParagraph"/>
      </w:pPr>
      <w:r>
        <w:rPr>
          <w:rFonts w:hint="eastAsia"/>
        </w:rPr>
        <w:t xml:space="preserve">系统能流图若单独绘制，作用只是解释风、光、潮新能源如何进入电力外送、制氢、柔性算力、储能和关键负荷保供通道。它不是结果图，也不表达某一方案优于另一方案。本章正文后续直接用逐时调度图和结果柱状图解释各通道的实际运行表现。</w:t>
      </w:r>
    </w:p>
    <w:bookmarkEnd w:id="15"/>
    <w:bookmarkEnd w:id="16"/>
    <w:bookmarkStart w:id="17" w:name="基准方案设计单一电力氢与算力外送"/>
    <w:p>
      <w:pPr>
        <w:pStyle w:val="Heading2"/>
      </w:pPr>
      <w:r>
        <w:t xml:space="preserve">5.2 </w:t>
      </w:r>
      <w:r>
        <w:rPr>
          <w:rFonts w:hint="eastAsia"/>
        </w:rPr>
        <w:t xml:space="preserve">基准方案设计：单一电力、氢与算力外送</w:t>
      </w:r>
    </w:p>
    <w:p>
      <w:pPr>
        <w:pStyle w:val="FirstParagraph"/>
      </w:pPr>
      <w:r>
        <w:rPr>
          <w:rFonts w:hint="eastAsia"/>
        </w:rPr>
        <w:t xml:space="preserve">三类基准方案均通过资产开关形成，不再沿用</w:t>
      </w:r>
      <w:r>
        <w:t xml:space="preserve"> 22 </w:t>
      </w:r>
      <w:r>
        <w:rPr>
          <w:rFonts w:hint="eastAsia"/>
        </w:rPr>
        <w:t xml:space="preserve">种固定电力、氢和算力比例方案。各基准共同保留源侧新能源、电化学储能和海洋关键负荷，只改变可选产品出口。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基准方案</w:t>
            </w:r>
          </w:p>
        </w:tc>
        <w:tc>
          <w:tcPr/>
          <w:p>
            <w:pPr>
              <w:pStyle w:val="Compact"/>
            </w:pPr>
            <w:r>
              <w:rPr>
                <w:rFonts w:hint="eastAsia"/>
              </w:rPr>
              <w:t xml:space="preserve">打开的可选产品通道</w:t>
            </w:r>
          </w:p>
        </w:tc>
        <w:tc>
          <w:tcPr/>
          <w:p>
            <w:pPr>
              <w:pStyle w:val="Compact"/>
            </w:pPr>
            <w:r>
              <w:rPr>
                <w:rFonts w:hint="eastAsia"/>
              </w:rPr>
              <w:t xml:space="preserve">关闭的可选产品通道</w:t>
            </w:r>
          </w:p>
        </w:tc>
        <w:tc>
          <w:tcPr/>
          <w:p>
            <w:pPr>
              <w:pStyle w:val="Compact"/>
            </w:pPr>
            <w:r>
              <w:rPr>
                <w:rFonts w:hint="eastAsia"/>
              </w:rPr>
              <w:t xml:space="preserve">设计目的</w:t>
            </w:r>
          </w:p>
        </w:tc>
      </w:tr>
      <w:tr>
        <w:tc>
          <w:tcPr/>
          <w:p>
            <w:pPr>
              <w:pStyle w:val="Compact"/>
            </w:pPr>
            <w:r>
              <w:rPr>
                <w:rFonts w:hint="eastAsia"/>
              </w:rPr>
              <w:t xml:space="preserve">纯电资产基准</w:t>
            </w:r>
          </w:p>
        </w:tc>
        <w:tc>
          <w:tcPr/>
          <w:p>
            <w:pPr>
              <w:pStyle w:val="Compact"/>
            </w:pPr>
            <w:r>
              <w:rPr>
                <w:rFonts w:hint="eastAsia"/>
              </w:rPr>
              <w:t xml:space="preserve">海缆外送</w:t>
            </w:r>
          </w:p>
        </w:tc>
        <w:tc>
          <w:tcPr/>
          <w:p>
            <w:pPr>
              <w:pStyle w:val="Compact"/>
            </w:pPr>
            <w:r>
              <w:rPr>
                <w:rFonts w:hint="eastAsia"/>
              </w:rPr>
              <w:t xml:space="preserve">制氢、柔性算力</w:t>
            </w:r>
          </w:p>
        </w:tc>
        <w:tc>
          <w:tcPr/>
          <w:p>
            <w:pPr>
              <w:pStyle w:val="Compact"/>
            </w:pPr>
            <w:r>
              <w:rPr>
                <w:rFonts w:hint="eastAsia"/>
              </w:rPr>
              <w:t xml:space="preserve">检验新能源直接外送电力的消纳和收益能力</w:t>
            </w:r>
          </w:p>
        </w:tc>
      </w:tr>
      <w:tr>
        <w:tc>
          <w:tcPr/>
          <w:p>
            <w:pPr>
              <w:pStyle w:val="Compact"/>
            </w:pPr>
            <w:r>
              <w:rPr>
                <w:rFonts w:hint="eastAsia"/>
              </w:rPr>
              <w:t xml:space="preserve">纯氢资产基准</w:t>
            </w:r>
          </w:p>
        </w:tc>
        <w:tc>
          <w:tcPr/>
          <w:p>
            <w:pPr>
              <w:pStyle w:val="Compact"/>
            </w:pPr>
            <w:r>
              <w:rPr>
                <w:rFonts w:hint="eastAsia"/>
              </w:rPr>
              <w:t xml:space="preserve">电解槽制氢、储氢、氢输出</w:t>
            </w:r>
          </w:p>
        </w:tc>
        <w:tc>
          <w:tcPr/>
          <w:p>
            <w:pPr>
              <w:pStyle w:val="Compact"/>
            </w:pPr>
            <w:r>
              <w:rPr>
                <w:rFonts w:hint="eastAsia"/>
              </w:rPr>
              <w:t xml:space="preserve">海缆外送、柔性算力</w:t>
            </w:r>
          </w:p>
        </w:tc>
        <w:tc>
          <w:tcPr/>
          <w:p>
            <w:pPr>
              <w:pStyle w:val="Compact"/>
            </w:pPr>
            <w:r>
              <w:rPr>
                <w:rFonts w:hint="eastAsia"/>
              </w:rPr>
              <w:t xml:space="preserve">检验氢链条在单一出口边界下是否承接波动电量</w:t>
            </w:r>
          </w:p>
        </w:tc>
      </w:tr>
      <w:tr>
        <w:tc>
          <w:tcPr/>
          <w:p>
            <w:pPr>
              <w:pStyle w:val="Compact"/>
            </w:pPr>
            <w:r>
              <w:rPr>
                <w:rFonts w:hint="eastAsia"/>
              </w:rPr>
              <w:t xml:space="preserve">纯算资产基准</w:t>
            </w:r>
          </w:p>
        </w:tc>
        <w:tc>
          <w:tcPr/>
          <w:p>
            <w:pPr>
              <w:pStyle w:val="Compact"/>
            </w:pPr>
            <w:r>
              <w:rPr>
                <w:rFonts w:hint="eastAsia"/>
              </w:rPr>
              <w:t xml:space="preserve">柔性算力</w:t>
            </w:r>
          </w:p>
        </w:tc>
        <w:tc>
          <w:tcPr/>
          <w:p>
            <w:pPr>
              <w:pStyle w:val="Compact"/>
            </w:pPr>
            <w:r>
              <w:rPr>
                <w:rFonts w:hint="eastAsia"/>
              </w:rPr>
              <w:t xml:space="preserve">海缆外送、制氢</w:t>
            </w:r>
          </w:p>
        </w:tc>
        <w:tc>
          <w:tcPr/>
          <w:p>
            <w:pPr>
              <w:pStyle w:val="Compact"/>
            </w:pPr>
            <w:r>
              <w:rPr>
                <w:rFonts w:hint="eastAsia"/>
              </w:rPr>
              <w:t xml:space="preserve">检验可中断算力负荷的吸纳和变现能力</w:t>
            </w:r>
          </w:p>
        </w:tc>
      </w:tr>
    </w:tbl>
    <w:p>
      <w:pPr>
        <w:pStyle w:val="BodyText"/>
      </w:pPr>
      <w:r>
        <w:rPr>
          <w:rFonts w:hint="eastAsia"/>
        </w:rPr>
        <w:t xml:space="preserve">这些基准不是固定比例分配，也不会强制可用新能源全部进入某一产品。模型仍按可靠性和经济性优化：若纯氢基准下制氢不经济，电解槽可以不启动；若纯算基准下任务池不足，剩余新能源可以弃电。因此，基准结果更准确的解释是“给定资产开关边界下的最优调度结果”，而不是“强制全电、全氢、全算”的结果。</w:t>
      </w:r>
    </w:p>
    <w:p>
      <w:pPr>
        <w:pStyle w:val="BodyText"/>
      </w:pPr>
      <w:r>
        <w:rPr>
          <w:rFonts w:hint="eastAsia"/>
        </w:rPr>
        <w:t xml:space="preserve">阅读时请分两层：48</w:t>
      </w:r>
      <w:r>
        <w:t xml:space="preserve"> h </w:t>
      </w:r>
      <w:r>
        <w:rPr>
          <w:rFonts w:hint="eastAsia"/>
        </w:rPr>
        <w:t xml:space="preserve">正常典型结果用于三基准横评；年度结果只用于“在线混合策略</w:t>
      </w:r>
      <w:r>
        <w:t xml:space="preserve"> vs </w:t>
      </w:r>
      <w:r>
        <w:rPr>
          <w:rFonts w:hint="eastAsia"/>
        </w:rPr>
        <w:t xml:space="preserve">纯电基准”的压力对照。纯氢和纯算年度结果仍待补齐，因此本章不把年度三基准写成已完成结论。</w:t>
      </w:r>
    </w:p>
    <w:bookmarkEnd w:id="17"/>
    <w:bookmarkStart w:id="22" w:name="对比方案与最优策略设计"/>
    <w:p>
      <w:pPr>
        <w:pStyle w:val="Heading2"/>
      </w:pPr>
      <w:r>
        <w:t xml:space="preserve">5.3 </w:t>
      </w:r>
      <w:r>
        <w:rPr>
          <w:rFonts w:hint="eastAsia"/>
        </w:rPr>
        <w:t xml:space="preserve">对比方案与最优策略设计</w:t>
      </w:r>
    </w:p>
    <w:p>
      <w:pPr>
        <w:pStyle w:val="FirstParagraph"/>
      </w:pPr>
      <w:r>
        <w:rPr>
          <w:rFonts w:hint="eastAsia"/>
        </w:rPr>
        <w:t xml:space="preserve">对比方案围绕储能、制氢、算力和混合模式展开。第四章负责定义调度模型的目标函数、约束和求解边界；第五章负责把模型放入具体场景，说明策略规则、仿真过程和结果。因此，最优策略的数学机制可放在第四章，策略优劣和最终采用理由应在本章结合</w:t>
      </w:r>
      <w:r>
        <w:t xml:space="preserve"> 48 h </w:t>
      </w:r>
      <w:r>
        <w:rPr>
          <w:rFonts w:hint="eastAsia"/>
        </w:rPr>
        <w:t xml:space="preserve">与</w:t>
      </w:r>
      <w:r>
        <w:t xml:space="preserve"> 8,760 h </w:t>
      </w:r>
      <w:r>
        <w:rPr>
          <w:rFonts w:hint="eastAsia"/>
        </w:rPr>
        <w:t xml:space="preserve">结果讲清楚。</w:t>
      </w:r>
    </w:p>
    <w:bookmarkStart w:id="18" w:name="储能调度设计"/>
    <w:p>
      <w:pPr>
        <w:pStyle w:val="Heading3"/>
      </w:pPr>
      <w:r>
        <w:t xml:space="preserve">5.3.1 </w:t>
      </w:r>
      <w:r>
        <w:rPr>
          <w:rFonts w:hint="eastAsia"/>
        </w:rPr>
        <w:t xml:space="preserve">储能调度设计</w:t>
      </w:r>
    </w:p>
    <w:p>
      <w:pPr>
        <w:pStyle w:val="FirstParagraph"/>
      </w:pPr>
      <w:r>
        <w:rPr>
          <w:rFonts w:hint="eastAsia"/>
        </w:rPr>
        <w:t xml:space="preserve">电化学储能主要承担短时平滑、关键负荷保供和调度备用。仿真过程中记录充电、放电、储能电量状态、储备目标及储备目标回退情况。这里的储能储备目标是调度约束，不是硬性保供承诺；当储备目标与当前小时零缺供发生冲突时，模型优先满足当前关键负荷，并释放相应储备约束。</w:t>
      </w:r>
    </w:p>
    <w:bookmarkEnd w:id="18"/>
    <w:bookmarkStart w:id="19" w:name="制氢与氢转电设计"/>
    <w:p>
      <w:pPr>
        <w:pStyle w:val="Heading3"/>
      </w:pPr>
      <w:r>
        <w:t xml:space="preserve">5.3.2 </w:t>
      </w:r>
      <w:r>
        <w:rPr>
          <w:rFonts w:hint="eastAsia"/>
        </w:rPr>
        <w:t xml:space="preserve">制氢与氢转电设计</w:t>
      </w:r>
    </w:p>
    <w:p>
      <w:pPr>
        <w:pStyle w:val="FirstParagraph"/>
      </w:pPr>
      <w:r>
        <w:rPr>
          <w:rFonts w:hint="eastAsia"/>
        </w:rPr>
        <w:t xml:space="preserve">制氢链条包括电解槽制氢、储氢、氢交付和氢转电。其中，制氢作为可选产品出口参与收益优化，氢转电作为关键负荷保供通道参与可靠性约束。当前年度主账不设置氢库存运营下限，氢库存仅受物理非负和容量约束；这样可以避免模型外注入氢，但也意味着台风事件前未必会自然形成足够的氢储备。</w:t>
      </w:r>
    </w:p>
    <w:bookmarkEnd w:id="19"/>
    <w:bookmarkStart w:id="20" w:name="柔性算力设计"/>
    <w:p>
      <w:pPr>
        <w:pStyle w:val="Heading3"/>
      </w:pPr>
      <w:r>
        <w:t xml:space="preserve">5.3.3 </w:t>
      </w:r>
      <w:r>
        <w:rPr>
          <w:rFonts w:hint="eastAsia"/>
        </w:rPr>
        <w:t xml:space="preserve">柔性算力设计</w:t>
      </w:r>
    </w:p>
    <w:p>
      <w:pPr>
        <w:pStyle w:val="FirstParagraph"/>
      </w:pPr>
      <w:r>
        <w:rPr>
          <w:rFonts w:hint="eastAsia"/>
        </w:rPr>
        <w:t xml:space="preserve">本章主比较中，算力按可中断柔性负荷处理，不计入关键负荷缺供。算力设施的价值不在于全年尽可能多耗电，而在于任务池和服务价格允许时，用相对高的单位电量收益吸收部分新能源。若未来项目承诺刚性服务承诺，则需要增设刚性算力负荷和违约惩罚场景。</w:t>
      </w:r>
    </w:p>
    <w:bookmarkEnd w:id="20"/>
    <w:bookmarkStart w:id="21" w:name="在线混合最优策略"/>
    <w:p>
      <w:pPr>
        <w:pStyle w:val="Heading3"/>
      </w:pPr>
      <w:r>
        <w:t xml:space="preserve">5.3.4 </w:t>
      </w:r>
      <w:r>
        <w:rPr>
          <w:rFonts w:hint="eastAsia"/>
        </w:rPr>
        <w:t xml:space="preserve">在线混合最优策略</w:t>
      </w:r>
    </w:p>
    <w:p>
      <w:pPr>
        <w:pStyle w:val="FirstParagraph"/>
      </w:pPr>
      <w:r>
        <w:rPr>
          <w:rFonts w:hint="eastAsia"/>
        </w:rPr>
        <w:t xml:space="preserve">在线混合策略同时启用电力外送、制氢和柔性算力。每个小时先利用已发生的风、光、潮资源形成短期预测，再根据最新观测修正可用功率估计；随后在</w:t>
      </w:r>
      <w:r>
        <w:t xml:space="preserve"> 6 h </w:t>
      </w:r>
      <w:r>
        <w:rPr>
          <w:rFonts w:hint="eastAsia"/>
        </w:rPr>
        <w:t xml:space="preserve">滚动窗口内生成三类出口的分配计划，并只执行当前首小时。</w:t>
      </w:r>
    </w:p>
    <w:p>
      <w:pPr>
        <w:pStyle w:val="BodyText"/>
      </w:pPr>
      <w:r>
        <w:rPr>
          <w:rFonts w:hint="eastAsia"/>
        </w:rPr>
        <w:t xml:space="preserve">结算层采用可靠性优先的分层逻辑：</w:t>
      </w:r>
    </w:p>
    <w:p>
      <w:pPr>
        <w:numPr>
          <w:ilvl w:val="0"/>
          <w:numId w:val="1003"/>
        </w:numPr>
      </w:pPr>
      <w:r>
        <w:rPr>
          <w:rFonts w:hint="eastAsia"/>
        </w:rPr>
        <w:t xml:space="preserve">优先满足当前小时关键负荷零缺供、计划份额和储能储备目标；</w:t>
      </w:r>
    </w:p>
    <w:p>
      <w:pPr>
        <w:numPr>
          <w:ilvl w:val="0"/>
          <w:numId w:val="1003"/>
        </w:numPr>
      </w:pPr>
      <w:r>
        <w:rPr>
          <w:rFonts w:hint="eastAsia"/>
        </w:rPr>
        <w:t xml:space="preserve">若不可行，释放可选产品计划份额；</w:t>
      </w:r>
    </w:p>
    <w:p>
      <w:pPr>
        <w:numPr>
          <w:ilvl w:val="0"/>
          <w:numId w:val="1003"/>
        </w:numPr>
      </w:pPr>
      <w:r>
        <w:rPr>
          <w:rFonts w:hint="eastAsia"/>
        </w:rPr>
        <w:t xml:space="preserve">若仍不可行，释放储能和氢储备目标；</w:t>
      </w:r>
    </w:p>
    <w:p>
      <w:pPr>
        <w:numPr>
          <w:ilvl w:val="0"/>
          <w:numId w:val="1003"/>
        </w:numPr>
      </w:pPr>
      <w:r>
        <w:rPr>
          <w:rFonts w:hint="eastAsia"/>
        </w:rPr>
        <w:t xml:space="preserve">若物理边界仍不能达到零缺供，则先求该小时最小缺供，并在最小缺供容差内优化经济性。</w:t>
      </w:r>
    </w:p>
    <w:p>
      <w:pPr>
        <w:pStyle w:val="FirstParagraph"/>
      </w:pPr>
      <w:r>
        <w:rPr>
          <w:rFonts w:hint="eastAsia"/>
        </w:rPr>
        <w:t xml:space="preserve">为减少相邻小时之间的分配跳变，三类出口份额经过平滑、保持和变化限幅处理。短期预测、防抖和限幅参数仍为待校准假设值，后续应通过企业运行数据进一步校准。</w:t>
      </w:r>
    </w:p>
    <w:bookmarkEnd w:id="21"/>
    <w:bookmarkEnd w:id="22"/>
    <w:bookmarkStart w:id="37" w:name="典型场景调度结果48-h-与-8760-h"/>
    <w:p>
      <w:pPr>
        <w:pStyle w:val="Heading2"/>
      </w:pPr>
      <w:r>
        <w:t xml:space="preserve">5.4 </w:t>
      </w:r>
      <w:r>
        <w:rPr>
          <w:rFonts w:hint="eastAsia"/>
        </w:rPr>
        <w:t xml:space="preserve">典型场景调度结果：48</w:t>
      </w:r>
      <w:r>
        <w:t xml:space="preserve"> h </w:t>
      </w:r>
      <w:r>
        <w:rPr>
          <w:rFonts w:hint="eastAsia"/>
        </w:rPr>
        <w:t xml:space="preserve">与</w:t>
      </w:r>
      <w:r>
        <w:t xml:space="preserve"> 8,760 h</w:t>
      </w:r>
    </w:p>
    <w:p>
      <w:pPr>
        <w:pStyle w:val="FirstParagraph"/>
      </w:pPr>
      <w:r>
        <w:rPr>
          <w:rFonts w:hint="eastAsia"/>
        </w:rPr>
        <w:t xml:space="preserve">本节不再把逐小时结果压缩成大表，而是用曲线和柱状图说明系统在短窗和年度尺度下的运行过程。关键数字在文字中列出，完整明细保留在结果台账中备查。</w:t>
      </w:r>
    </w:p>
    <w:bookmarkStart w:id="29" w:name="正常典型-48-h-四方案结果"/>
    <w:p>
      <w:pPr>
        <w:pStyle w:val="Heading3"/>
      </w:pPr>
      <w:r>
        <w:t xml:space="preserve">5.4.1 </w:t>
      </w:r>
      <w:r>
        <w:rPr>
          <w:rFonts w:hint="eastAsia"/>
        </w:rPr>
        <w:t xml:space="preserve">正常典型</w:t>
      </w:r>
      <w:r>
        <w:t xml:space="preserve"> 48 h </w:t>
      </w:r>
      <w:r>
        <w:rPr>
          <w:rFonts w:hint="eastAsia"/>
        </w:rPr>
        <w:t xml:space="preserve">四方案结果</w:t>
      </w:r>
    </w:p>
    <w:p>
      <w:pPr>
        <w:pStyle w:val="FirstParagraph"/>
      </w:pPr>
      <w:r>
        <w:rPr>
          <w:rFonts w:hint="eastAsia"/>
        </w:rPr>
        <w:t xml:space="preserve">四个方案使用同一正常</w:t>
      </w:r>
      <w:r>
        <w:t xml:space="preserve"> 48 h </w:t>
      </w:r>
      <w:r>
        <w:rPr>
          <w:rFonts w:hint="eastAsia"/>
        </w:rPr>
        <w:t xml:space="preserve">窗口，可用新能源均为</w:t>
      </w:r>
      <w:r>
        <w:t xml:space="preserve"> 8,450.799 </w:t>
      </w:r>
      <w:r>
        <w:rPr>
          <w:rFonts w:hint="eastAsia"/>
        </w:rPr>
        <w:t xml:space="preserve">MWh，所有小时均求解成功并通过代数审计，关键负荷缺供为</w:t>
      </w:r>
      <w:r>
        <w:t xml:space="preserve"> </w:t>
      </w:r>
      <w:r>
        <w:rPr>
          <w:rFonts w:hint="eastAsia"/>
        </w:rPr>
        <w:t xml:space="preserve">0。图</w:t>
      </w:r>
      <w:r>
        <w:t xml:space="preserve"> 5-2 </w:t>
      </w:r>
      <w:r>
        <w:rPr>
          <w:rFonts w:hint="eastAsia"/>
        </w:rPr>
        <w:t xml:space="preserve">展示在线混合策略在</w:t>
      </w:r>
      <w:r>
        <w:t xml:space="preserve"> 48 h </w:t>
      </w:r>
      <w:r>
        <w:rPr>
          <w:rFonts w:hint="eastAsia"/>
        </w:rPr>
        <w:t xml:space="preserve">内的逐小时表现：前</w:t>
      </w:r>
      <w:r>
        <w:t xml:space="preserve"> 36 h </w:t>
      </w:r>
      <w:r>
        <w:rPr>
          <w:rFonts w:hint="eastAsia"/>
        </w:rPr>
        <w:t xml:space="preserve">基本能够把可用新能源全部吸收，最后</w:t>
      </w:r>
      <w:r>
        <w:t xml:space="preserve"> 12 h </w:t>
      </w:r>
      <w:r>
        <w:rPr>
          <w:rFonts w:hint="eastAsia"/>
        </w:rPr>
        <w:t xml:space="preserve">出现</w:t>
      </w:r>
      <w:r>
        <w:t xml:space="preserve"> 272.130 MWh </w:t>
      </w:r>
      <w:r>
        <w:rPr>
          <w:rFonts w:hint="eastAsia"/>
        </w:rPr>
        <w:t xml:space="preserve">弃能；调度通道上，电力外送、制氢和柔性算力均被启用，储能主要承担平滑和保供状态维持。</w:t>
      </w:r>
    </w:p>
    <w:p>
      <w:pPr>
        <w:pStyle w:val="CaptionedFigure"/>
      </w:pPr>
      <w:r>
        <w:drawing>
          <wp:inline>
            <wp:extent cx="5334000" cy="3411369"/>
            <wp:effectExtent b="0" l="0" r="0" t="0"/>
            <wp:docPr descr="图5-2 在线混合策略48 h逐小时调度" title="" id="24" name="Picture"/>
            <a:graphic>
              <a:graphicData uri="http://schemas.openxmlformats.org/drawingml/2006/picture">
                <pic:pic>
                  <pic:nvPicPr>
                    <pic:cNvPr descr="figures/c5_54_48h_hourly_dispatch.png" id="25" name="Picture"/>
                    <pic:cNvPicPr>
                      <a:picLocks noChangeArrowheads="1" noChangeAspect="1"/>
                    </pic:cNvPicPr>
                  </pic:nvPicPr>
                  <pic:blipFill>
                    <a:blip r:embed="rId23"/>
                    <a:stretch>
                      <a:fillRect/>
                    </a:stretch>
                  </pic:blipFill>
                  <pic:spPr bwMode="auto">
                    <a:xfrm>
                      <a:off x="0" y="0"/>
                      <a:ext cx="5334000" cy="3411369"/>
                    </a:xfrm>
                    <a:prstGeom prst="rect">
                      <a:avLst/>
                    </a:prstGeom>
                    <a:noFill/>
                    <a:ln w="9525">
                      <a:noFill/>
                      <a:headEnd/>
                      <a:tailEnd/>
                    </a:ln>
                  </pic:spPr>
                </pic:pic>
              </a:graphicData>
            </a:graphic>
          </wp:inline>
        </w:drawing>
      </w:r>
    </w:p>
    <w:p>
      <w:pPr>
        <w:pStyle w:val="ImageCaption"/>
      </w:pPr>
      <w:r>
        <w:rPr>
          <w:rFonts w:hint="eastAsia"/>
        </w:rPr>
        <w:t xml:space="preserve">图5-2</w:t>
      </w:r>
      <w:r>
        <w:t xml:space="preserve"> </w:t>
      </w:r>
      <w:r>
        <w:rPr>
          <w:rFonts w:hint="eastAsia"/>
        </w:rPr>
        <w:t xml:space="preserve">在线混合策略48</w:t>
      </w:r>
      <w:r>
        <w:t xml:space="preserve"> </w:t>
      </w:r>
      <w:r>
        <w:rPr>
          <w:rFonts w:hint="eastAsia"/>
        </w:rPr>
        <w:t xml:space="preserve">h逐小时调度</w:t>
      </w:r>
    </w:p>
    <w:p>
      <w:pPr>
        <w:pStyle w:val="BodyText"/>
      </w:pPr>
      <w:r>
        <w:rPr>
          <w:rFonts w:hint="eastAsia"/>
        </w:rPr>
        <w:t xml:space="preserve">图</w:t>
      </w:r>
      <w:r>
        <w:t xml:space="preserve"> 5-3 </w:t>
      </w:r>
      <w:r>
        <w:rPr>
          <w:rFonts w:hint="eastAsia"/>
        </w:rPr>
        <w:t xml:space="preserve">对四个方案做结果横比。在线混合策略在</w:t>
      </w:r>
      <w:r>
        <w:t xml:space="preserve"> 48 h </w:t>
      </w:r>
      <w:r>
        <w:rPr>
          <w:rFonts w:hint="eastAsia"/>
        </w:rPr>
        <w:t xml:space="preserve">内消纳率为</w:t>
      </w:r>
      <w:r>
        <w:t xml:space="preserve"> </w:t>
      </w:r>
      <w:r>
        <w:rPr>
          <w:rFonts w:hint="eastAsia"/>
        </w:rPr>
        <w:t xml:space="preserve">96.780%，高于纯电基准的</w:t>
      </w:r>
      <w:r>
        <w:t xml:space="preserve"> </w:t>
      </w:r>
      <w:r>
        <w:rPr>
          <w:rFonts w:hint="eastAsia"/>
        </w:rPr>
        <w:t xml:space="preserve">90.686%、纯算基准的</w:t>
      </w:r>
      <w:r>
        <w:t xml:space="preserve"> 27.419% </w:t>
      </w:r>
      <w:r>
        <w:rPr>
          <w:rFonts w:hint="eastAsia"/>
        </w:rPr>
        <w:t xml:space="preserve">和纯氢基准的</w:t>
      </w:r>
      <w:r>
        <w:t xml:space="preserve"> </w:t>
      </w:r>
      <w:r>
        <w:rPr>
          <w:rFonts w:hint="eastAsia"/>
        </w:rPr>
        <w:t xml:space="preserve">12.901%；其现金运行毛收益为</w:t>
      </w:r>
      <w:r>
        <w:t xml:space="preserve"> 6.756 </w:t>
      </w:r>
      <w:r>
        <w:rPr>
          <w:rFonts w:hint="eastAsia"/>
        </w:rPr>
        <w:t xml:space="preserve">百万元，也高于纯算的</w:t>
      </w:r>
      <w:r>
        <w:t xml:space="preserve"> 5.954 </w:t>
      </w:r>
      <w:r>
        <w:rPr>
          <w:rFonts w:hint="eastAsia"/>
        </w:rPr>
        <w:t xml:space="preserve">百万元、纯电的</w:t>
      </w:r>
      <w:r>
        <w:t xml:space="preserve"> 2.533 </w:t>
      </w:r>
      <w:r>
        <w:rPr>
          <w:rFonts w:hint="eastAsia"/>
        </w:rPr>
        <w:t xml:space="preserve">百万元和纯氢的</w:t>
      </w:r>
      <w:r>
        <w:t xml:space="preserve"> 0.237 </w:t>
      </w:r>
      <w:r>
        <w:rPr>
          <w:rFonts w:hint="eastAsia"/>
        </w:rPr>
        <w:t xml:space="preserve">百万元。在线混合策略实际投入结构为电力外送</w:t>
      </w:r>
      <w:r>
        <w:t xml:space="preserve"> </w:t>
      </w:r>
      <w:r>
        <w:rPr>
          <w:rFonts w:hint="eastAsia"/>
        </w:rPr>
        <w:t xml:space="preserve">47.189%、制氢</w:t>
      </w:r>
      <w:r>
        <w:t xml:space="preserve"> </w:t>
      </w:r>
      <w:r>
        <w:rPr>
          <w:rFonts w:hint="eastAsia"/>
        </w:rPr>
        <w:t xml:space="preserve">35.498%、柔性算力</w:t>
      </w:r>
      <w:r>
        <w:t xml:space="preserve"> </w:t>
      </w:r>
      <w:r>
        <w:rPr>
          <w:rFonts w:hint="eastAsia"/>
        </w:rPr>
        <w:t xml:space="preserve">17.313%，说明多出口组合提升了短窗消纳和收益表现。</w:t>
      </w:r>
    </w:p>
    <w:p>
      <w:pPr>
        <w:pStyle w:val="CaptionedFigure"/>
      </w:pPr>
      <w:r>
        <w:drawing>
          <wp:inline>
            <wp:extent cx="5334000" cy="1774938"/>
            <wp:effectExtent b="0" l="0" r="0" t="0"/>
            <wp:docPr descr="图5-3 48 h四方案消纳、弃电与收益对比" title="" id="27" name="Picture"/>
            <a:graphic>
              <a:graphicData uri="http://schemas.openxmlformats.org/drawingml/2006/picture">
                <pic:pic>
                  <pic:nvPicPr>
                    <pic:cNvPr descr="figures/c5_54_48h_strategy_bars.png" id="28" name="Picture"/>
                    <pic:cNvPicPr>
                      <a:picLocks noChangeArrowheads="1" noChangeAspect="1"/>
                    </pic:cNvPicPr>
                  </pic:nvPicPr>
                  <pic:blipFill>
                    <a:blip r:embed="rId26"/>
                    <a:stretch>
                      <a:fillRect/>
                    </a:stretch>
                  </pic:blipFill>
                  <pic:spPr bwMode="auto">
                    <a:xfrm>
                      <a:off x="0" y="0"/>
                      <a:ext cx="5334000" cy="1774938"/>
                    </a:xfrm>
                    <a:prstGeom prst="rect">
                      <a:avLst/>
                    </a:prstGeom>
                    <a:noFill/>
                    <a:ln w="9525">
                      <a:noFill/>
                      <a:headEnd/>
                      <a:tailEnd/>
                    </a:ln>
                  </pic:spPr>
                </pic:pic>
              </a:graphicData>
            </a:graphic>
          </wp:inline>
        </w:drawing>
      </w:r>
    </w:p>
    <w:p>
      <w:pPr>
        <w:pStyle w:val="ImageCaption"/>
      </w:pPr>
      <w:r>
        <w:rPr>
          <w:rFonts w:hint="eastAsia"/>
        </w:rPr>
        <w:t xml:space="preserve">图5-3</w:t>
      </w:r>
      <w:r>
        <w:t xml:space="preserve"> 48 </w:t>
      </w:r>
      <w:r>
        <w:rPr>
          <w:rFonts w:hint="eastAsia"/>
        </w:rPr>
        <w:t xml:space="preserve">h四方案消纳、弃电与收益对比</w:t>
      </w:r>
    </w:p>
    <w:bookmarkEnd w:id="29"/>
    <w:bookmarkStart w:id="36" w:name="年度-8760-h-结果"/>
    <w:p>
      <w:pPr>
        <w:pStyle w:val="Heading3"/>
      </w:pPr>
      <w:r>
        <w:t xml:space="preserve">5.4.2 </w:t>
      </w:r>
      <w:r>
        <w:rPr>
          <w:rFonts w:hint="eastAsia"/>
        </w:rPr>
        <w:t xml:space="preserve">年度</w:t>
      </w:r>
      <w:r>
        <w:t xml:space="preserve"> 8,760 h </w:t>
      </w:r>
      <w:r>
        <w:rPr>
          <w:rFonts w:hint="eastAsia"/>
        </w:rPr>
        <w:t xml:space="preserve">结果</w:t>
      </w:r>
    </w:p>
    <w:p>
      <w:pPr>
        <w:pStyle w:val="FirstParagraph"/>
      </w:pPr>
      <w:r>
        <w:rPr>
          <w:rFonts w:hint="eastAsia"/>
        </w:rPr>
        <w:t xml:space="preserve">年度有效结果包括纯电基准和在线混合策略。由于年度纯氢、纯算基准尚未补齐，当前结果用于说明“在线混合策略相对纯电基准”的变化，不写成三类基准年度完整横评。全年可用新能源均为</w:t>
      </w:r>
      <w:r>
        <w:t xml:space="preserve"> 2,014,114.533 </w:t>
      </w:r>
      <w:r>
        <w:rPr>
          <w:rFonts w:hint="eastAsia"/>
        </w:rPr>
        <w:t xml:space="preserve">MWh。在线混合策略利用</w:t>
      </w:r>
      <w:r>
        <w:t xml:space="preserve"> 1,508,548.282 </w:t>
      </w:r>
      <w:r>
        <w:rPr>
          <w:rFonts w:hint="eastAsia"/>
        </w:rPr>
        <w:t xml:space="preserve">MWh，消纳率为</w:t>
      </w:r>
      <w:r>
        <w:t xml:space="preserve"> </w:t>
      </w:r>
      <w:r>
        <w:rPr>
          <w:rFonts w:hint="eastAsia"/>
        </w:rPr>
        <w:t xml:space="preserve">74.899%；纯电基准利用</w:t>
      </w:r>
      <w:r>
        <w:t xml:space="preserve"> 1,211,294.279 </w:t>
      </w:r>
      <w:r>
        <w:rPr>
          <w:rFonts w:hint="eastAsia"/>
        </w:rPr>
        <w:t xml:space="preserve">MWh，消纳率为</w:t>
      </w:r>
      <w:r>
        <w:t xml:space="preserve"> </w:t>
      </w:r>
      <w:r>
        <w:rPr>
          <w:rFonts w:hint="eastAsia"/>
        </w:rPr>
        <w:t xml:space="preserve">60.140%。在线混合策略相对纯电基准减少弃能</w:t>
      </w:r>
      <w:r>
        <w:t xml:space="preserve"> 297,254.003 </w:t>
      </w:r>
      <w:r>
        <w:rPr>
          <w:rFonts w:hint="eastAsia"/>
        </w:rPr>
        <w:t xml:space="preserve">MWh，并将现金运行毛收益从</w:t>
      </w:r>
      <w:r>
        <w:t xml:space="preserve"> 369.822 </w:t>
      </w:r>
      <w:r>
        <w:rPr>
          <w:rFonts w:hint="eastAsia"/>
        </w:rPr>
        <w:t xml:space="preserve">百万元提高到</w:t>
      </w:r>
      <w:r>
        <w:t xml:space="preserve"> 1,312.468 </w:t>
      </w:r>
      <w:r>
        <w:rPr>
          <w:rFonts w:hint="eastAsia"/>
        </w:rPr>
        <w:t xml:space="preserve">百万元。</w:t>
      </w:r>
    </w:p>
    <w:p>
      <w:pPr>
        <w:pStyle w:val="BodyText"/>
      </w:pPr>
      <w:r>
        <w:rPr>
          <w:rFonts w:hint="eastAsia"/>
        </w:rPr>
        <w:t xml:space="preserve">图</w:t>
      </w:r>
      <w:r>
        <w:t xml:space="preserve"> 5-4 </w:t>
      </w:r>
      <w:r>
        <w:rPr>
          <w:rFonts w:hint="eastAsia"/>
        </w:rPr>
        <w:t xml:space="preserve">展示在线混合策略的</w:t>
      </w:r>
      <w:r>
        <w:t xml:space="preserve"> 8,760 h </w:t>
      </w:r>
      <w:r>
        <w:rPr>
          <w:rFonts w:hint="eastAsia"/>
        </w:rPr>
        <w:t xml:space="preserve">逐小时运行轨迹。为便于阅读，图中使用</w:t>
      </w:r>
      <w:r>
        <w:t xml:space="preserve"> 24 h </w:t>
      </w:r>
      <w:r>
        <w:rPr>
          <w:rFonts w:hint="eastAsia"/>
        </w:rPr>
        <w:t xml:space="preserve">平滑曲线呈现全年变化，同时标出台风代理事件窗口。可以看到，年度收益和消纳改善主要来自正常运行时段的多出口吸收能力；极端事件窗口则主要暴露可靠性边界。</w:t>
      </w:r>
    </w:p>
    <w:p>
      <w:pPr>
        <w:pStyle w:val="CaptionedFigure"/>
      </w:pPr>
      <w:r>
        <w:drawing>
          <wp:inline>
            <wp:extent cx="5334000" cy="3224265"/>
            <wp:effectExtent b="0" l="0" r="0" t="0"/>
            <wp:docPr descr="图5-4 在线混合策略8760 h逐小时运行表现" title="" id="31" name="Picture"/>
            <a:graphic>
              <a:graphicData uri="http://schemas.openxmlformats.org/drawingml/2006/picture">
                <pic:pic>
                  <pic:nvPicPr>
                    <pic:cNvPr descr="figures/c5_54_8760_hourly_profile.png" id="32" name="Picture"/>
                    <pic:cNvPicPr>
                      <a:picLocks noChangeArrowheads="1" noChangeAspect="1"/>
                    </pic:cNvPicPr>
                  </pic:nvPicPr>
                  <pic:blipFill>
                    <a:blip r:embed="rId30"/>
                    <a:stretch>
                      <a:fillRect/>
                    </a:stretch>
                  </pic:blipFill>
                  <pic:spPr bwMode="auto">
                    <a:xfrm>
                      <a:off x="0" y="0"/>
                      <a:ext cx="5334000" cy="3224265"/>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在线混合策略8760</w:t>
      </w:r>
      <w:r>
        <w:t xml:space="preserve"> </w:t>
      </w:r>
      <w:r>
        <w:rPr>
          <w:rFonts w:hint="eastAsia"/>
        </w:rPr>
        <w:t xml:space="preserve">h逐小时运行表现</w:t>
      </w:r>
    </w:p>
    <w:p>
      <w:pPr>
        <w:pStyle w:val="BodyText"/>
      </w:pPr>
      <w:r>
        <w:rPr>
          <w:rFonts w:hint="eastAsia"/>
        </w:rPr>
        <w:t xml:space="preserve">图</w:t>
      </w:r>
      <w:r>
        <w:t xml:space="preserve"> 5-5 </w:t>
      </w:r>
      <w:r>
        <w:rPr>
          <w:rFonts w:hint="eastAsia"/>
        </w:rPr>
        <w:t xml:space="preserve">放大台风代理事件前后窗口。事件由</w:t>
      </w:r>
      <w:r>
        <w:t xml:space="preserve"> 12 h </w:t>
      </w:r>
      <w:r>
        <w:rPr>
          <w:rFonts w:hint="eastAsia"/>
        </w:rPr>
        <w:t xml:space="preserve">预警、24</w:t>
      </w:r>
      <w:r>
        <w:t xml:space="preserve"> h </w:t>
      </w:r>
      <w:r>
        <w:rPr>
          <w:rFonts w:hint="eastAsia"/>
        </w:rPr>
        <w:t xml:space="preserve">过境和</w:t>
      </w:r>
      <w:r>
        <w:t xml:space="preserve"> 24 h </w:t>
      </w:r>
      <w:r>
        <w:rPr>
          <w:rFonts w:hint="eastAsia"/>
        </w:rPr>
        <w:t xml:space="preserve">恢复组成。年度在线混合策略在预警阶段无缺供；过境阶段由于源侧可用功率为</w:t>
      </w:r>
      <w:r>
        <w:t xml:space="preserve"> </w:t>
      </w:r>
      <w:r>
        <w:rPr>
          <w:rFonts w:hint="eastAsia"/>
        </w:rPr>
        <w:t xml:space="preserve">0，出现</w:t>
      </w:r>
      <w:r>
        <w:t xml:space="preserve"> 341.340 MWh </w:t>
      </w:r>
      <w:r>
        <w:rPr>
          <w:rFonts w:hint="eastAsia"/>
        </w:rPr>
        <w:t xml:space="preserve">缺供；恢复阶段源侧逐步恢复，仍有</w:t>
      </w:r>
      <w:r>
        <w:t xml:space="preserve"> 16.209 MWh </w:t>
      </w:r>
      <w:r>
        <w:rPr>
          <w:rFonts w:hint="eastAsia"/>
        </w:rPr>
        <w:t xml:space="preserve">缺供。该结果说明当前主账可以因果连续运行，但不能直接写成自然储氢即可保证极端天气下零缺供。</w:t>
      </w:r>
    </w:p>
    <w:p>
      <w:pPr>
        <w:pStyle w:val="CaptionedFigure"/>
      </w:pPr>
      <w:r>
        <w:drawing>
          <wp:inline>
            <wp:extent cx="5334000" cy="3180985"/>
            <wp:effectExtent b="0" l="0" r="0" t="0"/>
            <wp:docPr descr="图5-5 台风代理事件窗口逐小时表现" title="" id="34" name="Picture"/>
            <a:graphic>
              <a:graphicData uri="http://schemas.openxmlformats.org/drawingml/2006/picture">
                <pic:pic>
                  <pic:nvPicPr>
                    <pic:cNvPr descr="figures/c5_54_8760_event_window.png" id="35" name="Picture"/>
                    <pic:cNvPicPr>
                      <a:picLocks noChangeArrowheads="1" noChangeAspect="1"/>
                    </pic:cNvPicPr>
                  </pic:nvPicPr>
                  <pic:blipFill>
                    <a:blip r:embed="rId33"/>
                    <a:stretch>
                      <a:fillRect/>
                    </a:stretch>
                  </pic:blipFill>
                  <pic:spPr bwMode="auto">
                    <a:xfrm>
                      <a:off x="0" y="0"/>
                      <a:ext cx="5334000" cy="3180985"/>
                    </a:xfrm>
                    <a:prstGeom prst="rect">
                      <a:avLst/>
                    </a:prstGeom>
                    <a:noFill/>
                    <a:ln w="9525">
                      <a:noFill/>
                      <a:headEnd/>
                      <a:tailEnd/>
                    </a:ln>
                  </pic:spPr>
                </pic:pic>
              </a:graphicData>
            </a:graphic>
          </wp:inline>
        </w:drawing>
      </w:r>
    </w:p>
    <w:p>
      <w:pPr>
        <w:pStyle w:val="ImageCaption"/>
      </w:pPr>
      <w:r>
        <w:rPr>
          <w:rFonts w:hint="eastAsia"/>
        </w:rPr>
        <w:t xml:space="preserve">图5-5</w:t>
      </w:r>
      <w:r>
        <w:t xml:space="preserve"> </w:t>
      </w:r>
      <w:r>
        <w:rPr>
          <w:rFonts w:hint="eastAsia"/>
        </w:rPr>
        <w:t xml:space="preserve">台风代理事件窗口逐小时表现</w:t>
      </w:r>
    </w:p>
    <w:bookmarkEnd w:id="36"/>
    <w:bookmarkEnd w:id="37"/>
    <w:bookmarkStart w:id="47" w:name="经济性弃电率碳减排和稳定性对比"/>
    <w:p>
      <w:pPr>
        <w:pStyle w:val="Heading2"/>
      </w:pPr>
      <w:r>
        <w:t xml:space="preserve">5.5 </w:t>
      </w:r>
      <w:r>
        <w:rPr>
          <w:rFonts w:hint="eastAsia"/>
        </w:rPr>
        <w:t xml:space="preserve">经济性、弃电率、碳减排和稳定性对比</w:t>
      </w:r>
    </w:p>
    <w:p>
      <w:pPr>
        <w:pStyle w:val="FirstParagraph"/>
      </w:pPr>
      <w:r>
        <w:rPr>
          <w:rFonts w:hint="eastAsia"/>
        </w:rPr>
        <w:t xml:space="preserve">本节在</w:t>
      </w:r>
      <w:r>
        <w:t xml:space="preserve"> 5.4 </w:t>
      </w:r>
      <w:r>
        <w:rPr>
          <w:rFonts w:hint="eastAsia"/>
        </w:rPr>
        <w:t xml:space="preserve">逐时结果基础上做派生分析。经济指标仍不包含完整建设投资、固定运维、替换、税费和融资，因此只代表运行层面的现金毛收益。</w:t>
      </w:r>
    </w:p>
    <w:bookmarkStart w:id="41" w:name="经济性与弃电率"/>
    <w:p>
      <w:pPr>
        <w:pStyle w:val="Heading3"/>
      </w:pPr>
      <w:r>
        <w:t xml:space="preserve">5.5.1 </w:t>
      </w:r>
      <w:r>
        <w:rPr>
          <w:rFonts w:hint="eastAsia"/>
        </w:rPr>
        <w:t xml:space="preserve">经济性与弃电率</w:t>
      </w:r>
    </w:p>
    <w:p>
      <w:pPr>
        <w:pStyle w:val="FirstParagraph"/>
      </w:pPr>
      <w:r>
        <w:rPr>
          <w:rFonts w:hint="eastAsia"/>
        </w:rPr>
        <w:t xml:space="preserve">图</w:t>
      </w:r>
      <w:r>
        <w:t xml:space="preserve"> 5-6 </w:t>
      </w:r>
      <w:r>
        <w:rPr>
          <w:rFonts w:hint="eastAsia"/>
        </w:rPr>
        <w:t xml:space="preserve">将</w:t>
      </w:r>
      <w:r>
        <w:t xml:space="preserve"> 48 h </w:t>
      </w:r>
      <w:r>
        <w:rPr>
          <w:rFonts w:hint="eastAsia"/>
        </w:rPr>
        <w:t xml:space="preserve">和年度结果分别画成柱状图。48</w:t>
      </w:r>
      <w:r>
        <w:t xml:space="preserve"> h </w:t>
      </w:r>
      <w:r>
        <w:rPr>
          <w:rFonts w:hint="eastAsia"/>
        </w:rPr>
        <w:t xml:space="preserve">窗口中，在线混合策略同时取得最高消纳率和最高现金运行毛收益；年度口径下，在线混合策略相对纯电基准把弃电率从</w:t>
      </w:r>
      <w:r>
        <w:t xml:space="preserve"> 39.860% </w:t>
      </w:r>
      <w:r>
        <w:rPr>
          <w:rFonts w:hint="eastAsia"/>
        </w:rPr>
        <w:t xml:space="preserve">降到</w:t>
      </w:r>
      <w:r>
        <w:t xml:space="preserve"> </w:t>
      </w:r>
      <w:r>
        <w:rPr>
          <w:rFonts w:hint="eastAsia"/>
        </w:rPr>
        <w:t xml:space="preserve">25.101%，下降</w:t>
      </w:r>
      <w:r>
        <w:t xml:space="preserve"> 14.759 </w:t>
      </w:r>
      <w:r>
        <w:rPr>
          <w:rFonts w:hint="eastAsia"/>
        </w:rPr>
        <w:t xml:space="preserve">个百分点。该结果支持“多出口协同提升新能源吸收和运行收益”的判断，但项目层收益仍需在包含建设投资和融资条件后单独测算。</w:t>
      </w:r>
    </w:p>
    <w:p>
      <w:pPr>
        <w:pStyle w:val="CaptionedFigure"/>
      </w:pPr>
      <w:r>
        <w:drawing>
          <wp:inline>
            <wp:extent cx="5334000" cy="3315099"/>
            <wp:effectExtent b="0" l="0" r="0" t="0"/>
            <wp:docPr descr="图5-6 经济性与弃电率柱状对比" title="" id="39" name="Picture"/>
            <a:graphic>
              <a:graphicData uri="http://schemas.openxmlformats.org/drawingml/2006/picture">
                <pic:pic>
                  <pic:nvPicPr>
                    <pic:cNvPr descr="figures/c5_55_economy_curtailment_bars.png" id="40" name="Picture"/>
                    <pic:cNvPicPr>
                      <a:picLocks noChangeArrowheads="1" noChangeAspect="1"/>
                    </pic:cNvPicPr>
                  </pic:nvPicPr>
                  <pic:blipFill>
                    <a:blip r:embed="rId38"/>
                    <a:stretch>
                      <a:fillRect/>
                    </a:stretch>
                  </pic:blipFill>
                  <pic:spPr bwMode="auto">
                    <a:xfrm>
                      <a:off x="0" y="0"/>
                      <a:ext cx="5334000" cy="3315099"/>
                    </a:xfrm>
                    <a:prstGeom prst="rect">
                      <a:avLst/>
                    </a:prstGeom>
                    <a:noFill/>
                    <a:ln w="9525">
                      <a:noFill/>
                      <a:headEnd/>
                      <a:tailEnd/>
                    </a:ln>
                  </pic:spPr>
                </pic:pic>
              </a:graphicData>
            </a:graphic>
          </wp:inline>
        </w:drawing>
      </w:r>
    </w:p>
    <w:p>
      <w:pPr>
        <w:pStyle w:val="ImageCaption"/>
      </w:pPr>
      <w:r>
        <w:rPr>
          <w:rFonts w:hint="eastAsia"/>
        </w:rPr>
        <w:t xml:space="preserve">图5-6</w:t>
      </w:r>
      <w:r>
        <w:t xml:space="preserve"> </w:t>
      </w:r>
      <w:r>
        <w:rPr>
          <w:rFonts w:hint="eastAsia"/>
        </w:rPr>
        <w:t xml:space="preserve">经济性与弃电率柱状对比</w:t>
      </w:r>
    </w:p>
    <w:bookmarkEnd w:id="41"/>
    <w:bookmarkStart w:id="45" w:name="碳减排代理指标"/>
    <w:p>
      <w:pPr>
        <w:pStyle w:val="Heading3"/>
      </w:pPr>
      <w:r>
        <w:t xml:space="preserve">5.5.2 </w:t>
      </w:r>
      <w:r>
        <w:rPr>
          <w:rFonts w:hint="eastAsia"/>
        </w:rPr>
        <w:t xml:space="preserve">碳减排代理指标</w:t>
      </w:r>
    </w:p>
    <w:p>
      <w:pPr>
        <w:pStyle w:val="FirstParagraph"/>
      </w:pPr>
      <w:r>
        <w:rPr>
          <w:rFonts w:hint="eastAsia"/>
        </w:rPr>
        <w:t xml:space="preserve">碳减排代理采用统一口径计算：项目侧排放代理按新能源利用量和储能充放电吞吐量估计；避免排放代理按海缆受端电量、氢交付量和算力服务量估计；净碳代理等于项目侧排放代理减去避免排放代理。该指标只用于同一模型边界下的相对比较，不构成产品生命周期评价或碳足迹认证。</w:t>
      </w:r>
    </w:p>
    <w:p>
      <w:pPr>
        <w:pStyle w:val="BodyText"/>
      </w:pPr>
      <w:r>
        <w:rPr>
          <w:rFonts w:hint="eastAsia"/>
        </w:rPr>
        <w:t xml:space="preserve">图</w:t>
      </w:r>
      <w:r>
        <w:t xml:space="preserve"> 5-7 </w:t>
      </w:r>
      <w:r>
        <w:rPr>
          <w:rFonts w:hint="eastAsia"/>
        </w:rPr>
        <w:t xml:space="preserve">显示，48</w:t>
      </w:r>
      <w:r>
        <w:t xml:space="preserve"> h </w:t>
      </w:r>
      <w:r>
        <w:rPr>
          <w:rFonts w:hint="eastAsia"/>
        </w:rPr>
        <w:t xml:space="preserve">短窗中纯电基准的净碳代理更优，主要原因是该窗口内直接电力外送量较高，且没有制氢和算力侧额外消纳。年度口径下，在线混合策略的净碳代理优于纯电基准，说明长周期内多产品交付带来的避免排放项更大。因此，碳减排排序不宜只依据单个短窗，应以年度连续结果作为主要判断依据。</w:t>
      </w:r>
    </w:p>
    <w:p>
      <w:pPr>
        <w:pStyle w:val="CaptionedFigure"/>
      </w:pPr>
      <w:r>
        <w:drawing>
          <wp:inline>
            <wp:extent cx="5334000" cy="1928101"/>
            <wp:effectExtent b="0" l="0" r="0" t="0"/>
            <wp:docPr descr="图5-7 净碳代理柱状对比" title="" id="43" name="Picture"/>
            <a:graphic>
              <a:graphicData uri="http://schemas.openxmlformats.org/drawingml/2006/picture">
                <pic:pic>
                  <pic:nvPicPr>
                    <pic:cNvPr descr="figures/c5_55_carbon_proxy_bars.png" id="44" name="Picture"/>
                    <pic:cNvPicPr>
                      <a:picLocks noChangeArrowheads="1" noChangeAspect="1"/>
                    </pic:cNvPicPr>
                  </pic:nvPicPr>
                  <pic:blipFill>
                    <a:blip r:embed="rId42"/>
                    <a:stretch>
                      <a:fillRect/>
                    </a:stretch>
                  </pic:blipFill>
                  <pic:spPr bwMode="auto">
                    <a:xfrm>
                      <a:off x="0" y="0"/>
                      <a:ext cx="5334000" cy="1928101"/>
                    </a:xfrm>
                    <a:prstGeom prst="rect">
                      <a:avLst/>
                    </a:prstGeom>
                    <a:noFill/>
                    <a:ln w="9525">
                      <a:noFill/>
                      <a:headEnd/>
                      <a:tailEnd/>
                    </a:ln>
                  </pic:spPr>
                </pic:pic>
              </a:graphicData>
            </a:graphic>
          </wp:inline>
        </w:drawing>
      </w:r>
    </w:p>
    <w:p>
      <w:pPr>
        <w:pStyle w:val="ImageCaption"/>
      </w:pPr>
      <w:r>
        <w:rPr>
          <w:rFonts w:hint="eastAsia"/>
        </w:rPr>
        <w:t xml:space="preserve">图5-7</w:t>
      </w:r>
      <w:r>
        <w:t xml:space="preserve"> </w:t>
      </w:r>
      <w:r>
        <w:rPr>
          <w:rFonts w:hint="eastAsia"/>
        </w:rPr>
        <w:t xml:space="preserve">净碳代理柱状对比</w:t>
      </w:r>
    </w:p>
    <w:bookmarkEnd w:id="45"/>
    <w:bookmarkStart w:id="46" w:name="稳定性与可靠性"/>
    <w:p>
      <w:pPr>
        <w:pStyle w:val="Heading3"/>
      </w:pPr>
      <w:r>
        <w:t xml:space="preserve">5.5.3 </w:t>
      </w:r>
      <w:r>
        <w:rPr>
          <w:rFonts w:hint="eastAsia"/>
        </w:rPr>
        <w:t xml:space="preserve">稳定性与可靠性</w:t>
      </w:r>
    </w:p>
    <w:p>
      <w:pPr>
        <w:pStyle w:val="FirstParagraph"/>
      </w:pPr>
      <w:r>
        <w:t xml:space="preserve">48 h </w:t>
      </w:r>
      <w:r>
        <w:rPr>
          <w:rFonts w:hint="eastAsia"/>
        </w:rPr>
        <w:t xml:space="preserve">短窗中四个方案均为零缺供，说明在正常典型窗口内系统调度链路可以闭合。年度结果则不同：纯电基准缺供</w:t>
      </w:r>
      <w:r>
        <w:t xml:space="preserve"> 2,544.630 </w:t>
      </w:r>
      <w:r>
        <w:rPr>
          <w:rFonts w:hint="eastAsia"/>
        </w:rPr>
        <w:t xml:space="preserve">MWh，在线混合策略缺供</w:t>
      </w:r>
      <w:r>
        <w:t xml:space="preserve"> 2,248.455 </w:t>
      </w:r>
      <w:r>
        <w:rPr>
          <w:rFonts w:hint="eastAsia"/>
        </w:rPr>
        <w:t xml:space="preserve">MWh，二者都尚未达到年度严格零缺供。在线混合策略全年</w:t>
      </w:r>
      <w:r>
        <w:t xml:space="preserve"> 8,760 </w:t>
      </w:r>
      <w:r>
        <w:rPr>
          <w:rFonts w:hint="eastAsia"/>
        </w:rPr>
        <w:t xml:space="preserve">个小时均完成求解并通过代数审计，但存在</w:t>
      </w:r>
      <w:r>
        <w:t xml:space="preserve"> 359 h </w:t>
      </w:r>
      <w:r>
        <w:rPr>
          <w:rFonts w:hint="eastAsia"/>
        </w:rPr>
        <w:t xml:space="preserve">计划回退、316</w:t>
      </w:r>
      <w:r>
        <w:t xml:space="preserve"> h </w:t>
      </w:r>
      <w:r>
        <w:rPr>
          <w:rFonts w:hint="eastAsia"/>
        </w:rPr>
        <w:t xml:space="preserve">储备约束松弛和</w:t>
      </w:r>
      <w:r>
        <w:t xml:space="preserve"> 154 h </w:t>
      </w:r>
      <w:r>
        <w:rPr>
          <w:rFonts w:hint="eastAsia"/>
        </w:rPr>
        <w:t xml:space="preserve">可靠性层级放松，因此应表述为“可因果连续运行，但年度严格保供仍需进一步加强”。</w:t>
      </w:r>
    </w:p>
    <w:bookmarkEnd w:id="46"/>
    <w:bookmarkEnd w:id="47"/>
    <w:bookmarkStart w:id="77" w:name="离岸距离电价氢价与算力价格敏感性分析"/>
    <w:p>
      <w:pPr>
        <w:pStyle w:val="Heading2"/>
      </w:pPr>
      <w:r>
        <w:t xml:space="preserve">5.6 </w:t>
      </w:r>
      <w:r>
        <w:rPr>
          <w:rFonts w:hint="eastAsia"/>
        </w:rPr>
        <w:t xml:space="preserve">离岸距离、电价、氢价与算力价格敏感性分析</w:t>
      </w:r>
    </w:p>
    <w:p>
      <w:pPr>
        <w:pStyle w:val="FirstParagraph"/>
      </w:pPr>
      <w:r>
        <w:rPr>
          <w:rFonts w:hint="eastAsia"/>
        </w:rPr>
        <w:t xml:space="preserve">本节把敏感性分析分成三类：一是只改变价格参数、保持调度结果不变的快速重估；二是只改变建设投资口径的生命周期台账重算；三是会改变可行域、必须重新跑全年的边界场景。这样写的目的，是避免把“重新计价”和“重新调度”混在一起解释。</w:t>
      </w:r>
    </w:p>
    <w:bookmarkStart w:id="48" w:name="离岸距离敏感性"/>
    <w:p>
      <w:pPr>
        <w:pStyle w:val="Heading3"/>
      </w:pPr>
      <w:r>
        <w:t xml:space="preserve">5.6.1 </w:t>
      </w:r>
      <w:r>
        <w:rPr>
          <w:rFonts w:hint="eastAsia"/>
        </w:rPr>
        <w:t xml:space="preserve">离岸距离敏感性</w:t>
      </w:r>
    </w:p>
    <w:p>
      <w:pPr>
        <w:pStyle w:val="FirstParagraph"/>
      </w:pPr>
      <w:r>
        <w:rPr>
          <w:rFonts w:hint="eastAsia"/>
        </w:rPr>
        <w:t xml:space="preserve">离岸距离首先影响海缆和海纤的建设投资。以</w:t>
      </w:r>
      <w:r>
        <w:t xml:space="preserve"> 200 km </w:t>
      </w:r>
      <w:r>
        <w:rPr>
          <w:rFonts w:hint="eastAsia"/>
        </w:rPr>
        <w:t xml:space="preserve">作为基准时，年化投资负担为</w:t>
      </w:r>
      <w:r>
        <w:t xml:space="preserve"> 3,670.660 </w:t>
      </w:r>
      <w:r>
        <w:rPr>
          <w:rFonts w:hint="eastAsia"/>
        </w:rPr>
        <w:t xml:space="preserve">百万元；距离缩短到</w:t>
      </w:r>
      <w:r>
        <w:t xml:space="preserve"> 100 km </w:t>
      </w:r>
      <w:r>
        <w:rPr>
          <w:rFonts w:hint="eastAsia"/>
        </w:rPr>
        <w:t xml:space="preserve">时，年化投资负担降至</w:t>
      </w:r>
      <w:r>
        <w:t xml:space="preserve"> 3,596.987 </w:t>
      </w:r>
      <w:r>
        <w:rPr>
          <w:rFonts w:hint="eastAsia"/>
        </w:rPr>
        <w:t xml:space="preserve">百万元；距离增加到</w:t>
      </w:r>
      <w:r>
        <w:t xml:space="preserve"> 300 km </w:t>
      </w:r>
      <w:r>
        <w:rPr>
          <w:rFonts w:hint="eastAsia"/>
        </w:rPr>
        <w:t xml:space="preserve">时，年化投资负担升至</w:t>
      </w:r>
      <w:r>
        <w:t xml:space="preserve"> 3,744.333 </w:t>
      </w:r>
      <w:r>
        <w:rPr>
          <w:rFonts w:hint="eastAsia"/>
        </w:rPr>
        <w:t xml:space="preserve">百万元。该结果只反映资本项变化，尚未代表所有海况、施工和可用率差异。</w:t>
      </w:r>
    </w:p>
    <w:p>
      <w:pPr>
        <w:pStyle w:val="BodyText"/>
      </w:pPr>
      <w:r>
        <w:rPr>
          <w:rFonts w:hint="eastAsia"/>
        </w:rPr>
        <w:t xml:space="preserve">在已完成的“高海缆损耗”年度重跑中，年度海缆受端电量降至</w:t>
      </w:r>
      <w:r>
        <w:t xml:space="preserve"> 705,468.049 </w:t>
      </w:r>
      <w:r>
        <w:rPr>
          <w:rFonts w:hint="eastAsia"/>
        </w:rPr>
        <w:t xml:space="preserve">MWh，弃能为</w:t>
      </w:r>
      <w:r>
        <w:t xml:space="preserve"> 507,195.806 </w:t>
      </w:r>
      <w:r>
        <w:rPr>
          <w:rFonts w:hint="eastAsia"/>
        </w:rPr>
        <w:t xml:space="preserve">MWh，缺供电量为</w:t>
      </w:r>
      <w:r>
        <w:t xml:space="preserve"> 2,238.658 </w:t>
      </w:r>
      <w:r>
        <w:rPr>
          <w:rFonts w:hint="eastAsia"/>
        </w:rPr>
        <w:t xml:space="preserve">MWh。该场景主要压缩受端电量和收入，对可靠性边界的影响相对有限。</w:t>
      </w:r>
    </w:p>
    <w:bookmarkEnd w:id="48"/>
    <w:bookmarkStart w:id="49" w:name="电价氢价和算力价格敏感度"/>
    <w:p>
      <w:pPr>
        <w:pStyle w:val="Heading3"/>
      </w:pPr>
      <w:r>
        <w:t xml:space="preserve">5.6.2 </w:t>
      </w:r>
      <w:r>
        <w:rPr>
          <w:rFonts w:hint="eastAsia"/>
        </w:rPr>
        <w:t xml:space="preserve">电价、氢价和算力价格敏感度</w:t>
      </w:r>
    </w:p>
    <w:p>
      <w:pPr>
        <w:pStyle w:val="FirstParagraph"/>
      </w:pPr>
      <w:r>
        <w:rPr>
          <w:rFonts w:hint="eastAsia"/>
        </w:rPr>
        <w:t xml:space="preserve">在固定年度调度结果的前提下，电力外送价每提高</w:t>
      </w:r>
      <w:r>
        <w:t xml:space="preserve"> 10 </w:t>
      </w:r>
      <w:r>
        <w:rPr>
          <w:rFonts w:hint="eastAsia"/>
        </w:rPr>
        <w:t xml:space="preserve">元/MWh，年度收入增加</w:t>
      </w:r>
      <w:r>
        <w:t xml:space="preserve"> 7.377 </w:t>
      </w:r>
      <w:r>
        <w:rPr>
          <w:rFonts w:hint="eastAsia"/>
        </w:rPr>
        <w:t xml:space="preserve">百万元；氢价每提高</w:t>
      </w:r>
      <w:r>
        <w:t xml:space="preserve"> 1 </w:t>
      </w:r>
      <w:r>
        <w:rPr>
          <w:rFonts w:hint="eastAsia"/>
        </w:rPr>
        <w:t xml:space="preserve">元/kg，年度收入增加</w:t>
      </w:r>
      <w:r>
        <w:t xml:space="preserve"> 4.404 </w:t>
      </w:r>
      <w:r>
        <w:rPr>
          <w:rFonts w:hint="eastAsia"/>
        </w:rPr>
        <w:t xml:space="preserve">百万元；算力服务价格每提高一个设定步长，年度收入增加</w:t>
      </w:r>
      <w:r>
        <w:t xml:space="preserve"> 18.740 </w:t>
      </w:r>
      <w:r>
        <w:rPr>
          <w:rFonts w:hint="eastAsia"/>
        </w:rPr>
        <w:t xml:space="preserve">百万元。由于这里没有重新求解调度，缺供、回退小时数和碳排放代理均保持不变。</w:t>
      </w:r>
    </w:p>
    <w:bookmarkEnd w:id="49"/>
    <w:bookmarkStart w:id="50" w:name="全年边界重跑结果"/>
    <w:p>
      <w:pPr>
        <w:pStyle w:val="Heading3"/>
      </w:pPr>
      <w:r>
        <w:t xml:space="preserve">5.6.3 </w:t>
      </w:r>
      <w:r>
        <w:rPr>
          <w:rFonts w:hint="eastAsia"/>
        </w:rPr>
        <w:t xml:space="preserve">全年边界重跑结果</w:t>
      </w:r>
    </w:p>
    <w:p>
      <w:pPr>
        <w:pStyle w:val="FirstParagraph"/>
      </w:pPr>
      <w:r>
        <w:rPr>
          <w:rFonts w:hint="eastAsia"/>
        </w:rPr>
        <w:t xml:space="preserve">会改变调度可行域的场景必须重新跑全年。当前已完成两组边界重跑：一组把柔性算力可用比例降至</w:t>
      </w:r>
      <w:r>
        <w:t xml:space="preserve"> </w:t>
      </w:r>
      <w:r>
        <w:rPr>
          <w:rFonts w:hint="eastAsia"/>
        </w:rPr>
        <w:t xml:space="preserve">50%，另一组提高海缆损耗代理。两组重跑均完成求解和代数审计，但都仍存在年度缺供，因此只能作为边界诊断，不能写成严格达标结论。</w:t>
      </w:r>
    </w:p>
    <w:tbl>
      <w:tblPr>
        <w:tblStyle w:val="Table"/>
        <w:tblW w:type="pct" w:w="5000"/>
        <w:tblLayout w:type="fixed"/>
        <w:tblLook w:firstRow="1" w:lastRow="0" w:firstColumn="0" w:lastColumn="0" w:noHBand="0" w:noVBand="0" w:val="0020"/>
      </w:tblPr>
      <w:tblGrid>
        <w:gridCol w:w="625"/>
        <w:gridCol w:w="625"/>
        <w:gridCol w:w="833"/>
        <w:gridCol w:w="833"/>
        <w:gridCol w:w="833"/>
        <w:gridCol w:w="833"/>
        <w:gridCol w:w="833"/>
        <w:gridCol w:w="833"/>
        <w:gridCol w:w="833"/>
        <w:gridCol w:w="833"/>
      </w:tblGrid>
      <w:tr>
        <w:trPr>
          <w:tblHeader w:val="on"/>
        </w:trPr>
        <w:tc>
          <w:tcPr/>
          <w:p>
            <w:pPr>
              <w:pStyle w:val="Compact"/>
            </w:pPr>
            <w:r>
              <w:rPr>
                <w:rFonts w:hint="eastAsia"/>
              </w:rPr>
              <w:t xml:space="preserve">场景</w:t>
            </w:r>
          </w:p>
        </w:tc>
        <w:tc>
          <w:tcPr/>
          <w:p>
            <w:pPr>
              <w:pStyle w:val="Compact"/>
            </w:pPr>
            <w:r>
              <w:rPr>
                <w:rFonts w:hint="eastAsia"/>
              </w:rPr>
              <w:t xml:space="preserve">关键变化</w:t>
            </w:r>
          </w:p>
        </w:tc>
        <w:tc>
          <w:tcPr/>
          <w:p>
            <w:pPr>
              <w:pStyle w:val="Compact"/>
              <w:jc w:val="right"/>
            </w:pPr>
            <w:r>
              <w:rPr>
                <w:rFonts w:hint="eastAsia"/>
              </w:rPr>
              <w:t xml:space="preserve">缺供电量/MWh</w:t>
            </w:r>
          </w:p>
        </w:tc>
        <w:tc>
          <w:tcPr/>
          <w:p>
            <w:pPr>
              <w:pStyle w:val="Compact"/>
              <w:jc w:val="right"/>
            </w:pPr>
            <w:r>
              <w:rPr>
                <w:rFonts w:hint="eastAsia"/>
              </w:rPr>
              <w:t xml:space="preserve">输出收入/百万元</w:t>
            </w:r>
          </w:p>
        </w:tc>
        <w:tc>
          <w:tcPr/>
          <w:p>
            <w:pPr>
              <w:pStyle w:val="Compact"/>
              <w:jc w:val="right"/>
            </w:pPr>
            <w:r>
              <w:rPr>
                <w:rFonts w:hint="eastAsia"/>
              </w:rPr>
              <w:t xml:space="preserve">运行成本/百万元</w:t>
            </w:r>
          </w:p>
        </w:tc>
        <w:tc>
          <w:tcPr/>
          <w:p>
            <w:pPr>
              <w:pStyle w:val="Compact"/>
              <w:jc w:val="right"/>
            </w:pPr>
            <w:r>
              <w:rPr>
                <w:rFonts w:hint="eastAsia"/>
              </w:rPr>
              <w:t xml:space="preserve">现金运行毛收益/百万元</w:t>
            </w:r>
          </w:p>
        </w:tc>
        <w:tc>
          <w:tcPr/>
          <w:p>
            <w:pPr>
              <w:pStyle w:val="Compact"/>
              <w:jc w:val="right"/>
            </w:pPr>
            <w:r>
              <w:rPr>
                <w:rFonts w:hint="eastAsia"/>
              </w:rPr>
              <w:t xml:space="preserve">计划回退/h</w:t>
            </w:r>
          </w:p>
        </w:tc>
        <w:tc>
          <w:tcPr/>
          <w:p>
            <w:pPr>
              <w:pStyle w:val="Compact"/>
              <w:jc w:val="right"/>
            </w:pPr>
            <w:r>
              <w:rPr>
                <w:rFonts w:hint="eastAsia"/>
              </w:rPr>
              <w:t xml:space="preserve">储备松弛/h</w:t>
            </w:r>
          </w:p>
        </w:tc>
        <w:tc>
          <w:tcPr/>
          <w:p>
            <w:pPr>
              <w:pStyle w:val="Compact"/>
              <w:jc w:val="right"/>
            </w:pPr>
            <w:r>
              <w:rPr>
                <w:rFonts w:hint="eastAsia"/>
              </w:rPr>
              <w:t xml:space="preserve">可靠性放松/h</w:t>
            </w:r>
          </w:p>
        </w:tc>
        <w:tc>
          <w:tcPr/>
          <w:p>
            <w:pPr>
              <w:pStyle w:val="Compact"/>
              <w:jc w:val="right"/>
            </w:pPr>
            <w:r>
              <w:rPr>
                <w:rFonts w:hint="eastAsia"/>
              </w:rPr>
              <w:t xml:space="preserve">关键负荷服务率</w:t>
            </w:r>
          </w:p>
        </w:tc>
      </w:tr>
      <w:tr>
        <w:tc>
          <w:tcPr/>
          <w:p>
            <w:pPr>
              <w:pStyle w:val="Compact"/>
            </w:pPr>
            <w:r>
              <w:rPr>
                <w:rFonts w:hint="eastAsia"/>
              </w:rPr>
              <w:t xml:space="preserve">年度在线基准</w:t>
            </w:r>
          </w:p>
        </w:tc>
        <w:tc>
          <w:tcPr/>
          <w:p>
            <w:pPr>
              <w:pStyle w:val="Compact"/>
            </w:pPr>
            <w:r>
              <w:rPr>
                <w:rFonts w:hint="eastAsia"/>
              </w:rPr>
              <w:t xml:space="preserve">基准主账</w:t>
            </w:r>
          </w:p>
        </w:tc>
        <w:tc>
          <w:tcPr/>
          <w:p>
            <w:pPr>
              <w:pStyle w:val="Compact"/>
              <w:jc w:val="right"/>
            </w:pPr>
            <w:r>
              <w:t xml:space="preserve">2,248.455</w:t>
            </w:r>
          </w:p>
        </w:tc>
        <w:tc>
          <w:tcPr/>
          <w:p>
            <w:pPr>
              <w:pStyle w:val="Compact"/>
              <w:jc w:val="right"/>
            </w:pPr>
            <w:r>
              <w:t xml:space="preserve">1,404.611</w:t>
            </w:r>
          </w:p>
        </w:tc>
        <w:tc>
          <w:tcPr/>
          <w:p>
            <w:pPr>
              <w:pStyle w:val="Compact"/>
              <w:jc w:val="right"/>
            </w:pPr>
            <w:r>
              <w:t xml:space="preserve">92.142</w:t>
            </w:r>
          </w:p>
        </w:tc>
        <w:tc>
          <w:tcPr/>
          <w:p>
            <w:pPr>
              <w:pStyle w:val="Compact"/>
              <w:jc w:val="right"/>
            </w:pPr>
            <w:r>
              <w:t xml:space="preserve">1,312.468</w:t>
            </w:r>
          </w:p>
        </w:tc>
        <w:tc>
          <w:tcPr/>
          <w:p>
            <w:pPr>
              <w:pStyle w:val="Compact"/>
              <w:jc w:val="right"/>
            </w:pPr>
            <w:r>
              <w:t xml:space="preserve">359</w:t>
            </w:r>
          </w:p>
        </w:tc>
        <w:tc>
          <w:tcPr/>
          <w:p>
            <w:pPr>
              <w:pStyle w:val="Compact"/>
              <w:jc w:val="right"/>
            </w:pPr>
            <w:r>
              <w:t xml:space="preserve">316</w:t>
            </w:r>
          </w:p>
        </w:tc>
        <w:tc>
          <w:tcPr/>
          <w:p>
            <w:pPr>
              <w:pStyle w:val="Compact"/>
              <w:jc w:val="right"/>
            </w:pPr>
            <w:r>
              <w:t xml:space="preserve">154</w:t>
            </w:r>
          </w:p>
        </w:tc>
        <w:tc>
          <w:tcPr/>
          <w:p>
            <w:pPr>
              <w:pStyle w:val="Compact"/>
              <w:jc w:val="right"/>
            </w:pPr>
            <w:r>
              <w:t xml:space="preserve">98.796%</w:t>
            </w:r>
          </w:p>
        </w:tc>
      </w:tr>
      <w:tr>
        <w:tc>
          <w:tcPr/>
          <w:p>
            <w:pPr>
              <w:pStyle w:val="Compact"/>
            </w:pPr>
            <w:r>
              <w:rPr>
                <w:rFonts w:hint="eastAsia"/>
              </w:rPr>
              <w:t xml:space="preserve">柔性算力减半</w:t>
            </w:r>
          </w:p>
        </w:tc>
        <w:tc>
          <w:tcPr/>
          <w:p>
            <w:pPr>
              <w:pStyle w:val="Compact"/>
            </w:pPr>
            <w:r>
              <w:rPr>
                <w:rFonts w:hint="eastAsia"/>
              </w:rPr>
              <w:t xml:space="preserve">柔性算力比例降至</w:t>
            </w:r>
            <w:r>
              <w:t xml:space="preserve"> 50%</w:t>
            </w:r>
          </w:p>
        </w:tc>
        <w:tc>
          <w:tcPr/>
          <w:p>
            <w:pPr>
              <w:pStyle w:val="Compact"/>
              <w:jc w:val="right"/>
            </w:pPr>
            <w:r>
              <w:t xml:space="preserve">4,591.382</w:t>
            </w:r>
          </w:p>
        </w:tc>
        <w:tc>
          <w:tcPr/>
          <w:p>
            <w:pPr>
              <w:pStyle w:val="Compact"/>
              <w:jc w:val="right"/>
            </w:pPr>
            <w:r>
              <w:t xml:space="preserve">1,416.455</w:t>
            </w:r>
          </w:p>
        </w:tc>
        <w:tc>
          <w:tcPr/>
          <w:p>
            <w:pPr>
              <w:pStyle w:val="Compact"/>
              <w:jc w:val="right"/>
            </w:pPr>
            <w:r>
              <w:t xml:space="preserve">115.896</w:t>
            </w:r>
          </w:p>
        </w:tc>
        <w:tc>
          <w:tcPr/>
          <w:p>
            <w:pPr>
              <w:pStyle w:val="Compact"/>
              <w:jc w:val="right"/>
            </w:pPr>
            <w:r>
              <w:t xml:space="preserve">1,300.560</w:t>
            </w:r>
          </w:p>
        </w:tc>
        <w:tc>
          <w:tcPr/>
          <w:p>
            <w:pPr>
              <w:pStyle w:val="Compact"/>
              <w:jc w:val="right"/>
            </w:pPr>
            <w:r>
              <w:t xml:space="preserve">313</w:t>
            </w:r>
          </w:p>
        </w:tc>
        <w:tc>
          <w:tcPr/>
          <w:p>
            <w:pPr>
              <w:pStyle w:val="Compact"/>
              <w:jc w:val="right"/>
            </w:pPr>
            <w:r>
              <w:t xml:space="preserve">833</w:t>
            </w:r>
          </w:p>
        </w:tc>
        <w:tc>
          <w:tcPr/>
          <w:p>
            <w:pPr>
              <w:pStyle w:val="Compact"/>
              <w:jc w:val="right"/>
            </w:pPr>
            <w:r>
              <w:t xml:space="preserve">277</w:t>
            </w:r>
          </w:p>
        </w:tc>
        <w:tc>
          <w:tcPr/>
          <w:p>
            <w:pPr>
              <w:pStyle w:val="Compact"/>
              <w:jc w:val="right"/>
            </w:pPr>
            <w:r>
              <w:t xml:space="preserve">98.453%</w:t>
            </w:r>
          </w:p>
        </w:tc>
      </w:tr>
      <w:tr>
        <w:tc>
          <w:tcPr/>
          <w:p>
            <w:pPr>
              <w:pStyle w:val="Compact"/>
            </w:pPr>
            <w:r>
              <w:rPr>
                <w:rFonts w:hint="eastAsia"/>
              </w:rPr>
              <w:t xml:space="preserve">高海缆损耗</w:t>
            </w:r>
          </w:p>
        </w:tc>
        <w:tc>
          <w:tcPr/>
          <w:p>
            <w:pPr>
              <w:pStyle w:val="Compact"/>
            </w:pPr>
            <w:r>
              <w:rPr>
                <w:rFonts w:hint="eastAsia"/>
              </w:rPr>
              <w:t xml:space="preserve">海缆损耗代理提高</w:t>
            </w:r>
          </w:p>
        </w:tc>
        <w:tc>
          <w:tcPr/>
          <w:p>
            <w:pPr>
              <w:pStyle w:val="Compact"/>
              <w:jc w:val="right"/>
            </w:pPr>
            <w:r>
              <w:t xml:space="preserve">2,238.658</w:t>
            </w:r>
          </w:p>
        </w:tc>
        <w:tc>
          <w:tcPr/>
          <w:p>
            <w:pPr>
              <w:pStyle w:val="Compact"/>
              <w:jc w:val="right"/>
            </w:pPr>
            <w:r>
              <w:t xml:space="preserve">1,391.054</w:t>
            </w:r>
          </w:p>
        </w:tc>
        <w:tc>
          <w:tcPr/>
          <w:p>
            <w:pPr>
              <w:pStyle w:val="Compact"/>
              <w:jc w:val="right"/>
            </w:pPr>
            <w:r>
              <w:t xml:space="preserve">91.729</w:t>
            </w:r>
          </w:p>
        </w:tc>
        <w:tc>
          <w:tcPr/>
          <w:p>
            <w:pPr>
              <w:pStyle w:val="Compact"/>
              <w:jc w:val="right"/>
            </w:pPr>
            <w:r>
              <w:t xml:space="preserve">1,299.325</w:t>
            </w:r>
          </w:p>
        </w:tc>
        <w:tc>
          <w:tcPr/>
          <w:p>
            <w:pPr>
              <w:pStyle w:val="Compact"/>
              <w:jc w:val="right"/>
            </w:pPr>
            <w:r>
              <w:t xml:space="preserve">359</w:t>
            </w:r>
          </w:p>
        </w:tc>
        <w:tc>
          <w:tcPr/>
          <w:p>
            <w:pPr>
              <w:pStyle w:val="Compact"/>
              <w:jc w:val="right"/>
            </w:pPr>
            <w:r>
              <w:t xml:space="preserve">312</w:t>
            </w:r>
          </w:p>
        </w:tc>
        <w:tc>
          <w:tcPr/>
          <w:p>
            <w:pPr>
              <w:pStyle w:val="Compact"/>
              <w:jc w:val="right"/>
            </w:pPr>
            <w:r>
              <w:t xml:space="preserve">154</w:t>
            </w:r>
          </w:p>
        </w:tc>
        <w:tc>
          <w:tcPr/>
          <w:p>
            <w:pPr>
              <w:pStyle w:val="Compact"/>
              <w:jc w:val="right"/>
            </w:pPr>
            <w:r>
              <w:t xml:space="preserve">98.801%</w:t>
            </w:r>
          </w:p>
        </w:tc>
      </w:tr>
    </w:tbl>
    <w:p>
      <w:pPr>
        <w:pStyle w:val="BodyText"/>
      </w:pPr>
      <w:r>
        <w:rPr>
          <w:rFonts w:hint="eastAsia"/>
        </w:rPr>
        <w:t xml:space="preserve">从结果看，柔性算力减半会显著放大缺供和储备松弛，说明算力柔性是当前年度策略里最直接的可靠性缓冲。高海缆损耗场景主要降低受端电量和收入，全年受端电量比基准少</w:t>
      </w:r>
      <w:r>
        <w:t xml:space="preserve"> 32.201 </w:t>
      </w:r>
      <w:r>
        <w:rPr>
          <w:rFonts w:hint="eastAsia"/>
        </w:rPr>
        <w:t xml:space="preserve">GWh，缺供变化不大。</w:t>
      </w:r>
    </w:p>
    <w:bookmarkEnd w:id="50"/>
    <w:bookmarkStart w:id="75" w:name="图表化展示"/>
    <w:p>
      <w:pPr>
        <w:pStyle w:val="Heading3"/>
      </w:pPr>
      <w:r>
        <w:t xml:space="preserve">5.6.4 </w:t>
      </w:r>
      <w:r>
        <w:rPr>
          <w:rFonts w:hint="eastAsia"/>
        </w:rPr>
        <w:t xml:space="preserve">图表化展示</w:t>
      </w:r>
    </w:p>
    <w:p>
      <w:pPr>
        <w:pStyle w:val="FirstParagraph"/>
      </w:pPr>
      <w:r>
        <w:rPr>
          <w:rFonts w:hint="eastAsia"/>
        </w:rPr>
        <w:t xml:space="preserve">图</w:t>
      </w:r>
      <w:r>
        <w:t xml:space="preserve"> 5-8 </w:t>
      </w:r>
      <w:r>
        <w:rPr>
          <w:rFonts w:hint="eastAsia"/>
        </w:rPr>
        <w:t xml:space="preserve">和图</w:t>
      </w:r>
      <w:r>
        <w:t xml:space="preserve"> 5-9 </w:t>
      </w:r>
      <w:r>
        <w:rPr>
          <w:rFonts w:hint="eastAsia"/>
        </w:rPr>
        <w:t xml:space="preserve">展示价格弹性。算力服务价格对应的收入斜率最大，说明在当前参数下，算力服务价格是在线混合策略最敏感的收入杠杆。</w:t>
      </w:r>
    </w:p>
    <w:p>
      <w:pPr>
        <w:pStyle w:val="CaptionedFigure"/>
      </w:pPr>
      <w:r>
        <w:drawing>
          <wp:inline>
            <wp:extent cx="5334000" cy="3105918"/>
            <wp:effectExtent b="0" l="0" r="0" t="0"/>
            <wp:docPr descr="图5-8 单位价格步长对应的年度收入斜率" title="" id="52" name="Picture"/>
            <a:graphic>
              <a:graphicData uri="http://schemas.openxmlformats.org/drawingml/2006/picture">
                <pic:pic>
                  <pic:nvPicPr>
                    <pic:cNvPr descr="figures/c5_56_price_slope_bar.png" id="53" name="Picture"/>
                    <pic:cNvPicPr>
                      <a:picLocks noChangeArrowheads="1" noChangeAspect="1"/>
                    </pic:cNvPicPr>
                  </pic:nvPicPr>
                  <pic:blipFill>
                    <a:blip r:embed="rId51"/>
                    <a:stretch>
                      <a:fillRect/>
                    </a:stretch>
                  </pic:blipFill>
                  <pic:spPr bwMode="auto">
                    <a:xfrm>
                      <a:off x="0" y="0"/>
                      <a:ext cx="5334000" cy="3105918"/>
                    </a:xfrm>
                    <a:prstGeom prst="rect">
                      <a:avLst/>
                    </a:prstGeom>
                    <a:noFill/>
                    <a:ln w="9525">
                      <a:noFill/>
                      <a:headEnd/>
                      <a:tailEnd/>
                    </a:ln>
                  </pic:spPr>
                </pic:pic>
              </a:graphicData>
            </a:graphic>
          </wp:inline>
        </w:drawing>
      </w:r>
    </w:p>
    <w:p>
      <w:pPr>
        <w:pStyle w:val="ImageCaption"/>
      </w:pPr>
      <w:r>
        <w:rPr>
          <w:rFonts w:hint="eastAsia"/>
        </w:rPr>
        <w:t xml:space="preserve">图5-8</w:t>
      </w:r>
      <w:r>
        <w:t xml:space="preserve"> </w:t>
      </w:r>
      <w:r>
        <w:rPr>
          <w:rFonts w:hint="eastAsia"/>
        </w:rPr>
        <w:t xml:space="preserve">单位价格步长对应的年度收入斜率</w:t>
      </w:r>
    </w:p>
    <w:p>
      <w:pPr>
        <w:pStyle w:val="CaptionedFigure"/>
      </w:pPr>
      <w:r>
        <w:drawing>
          <wp:inline>
            <wp:extent cx="5334000" cy="2705528"/>
            <wp:effectExtent b="0" l="0" r="0" t="0"/>
            <wp:docPr descr="图5-9 价格重定价收入与毛收益对比" title="" id="55" name="Picture"/>
            <a:graphic>
              <a:graphicData uri="http://schemas.openxmlformats.org/drawingml/2006/picture">
                <pic:pic>
                  <pic:nvPicPr>
                    <pic:cNvPr descr="figures/c5_56_price_sensitivity_line.png" id="56" name="Picture"/>
                    <pic:cNvPicPr>
                      <a:picLocks noChangeArrowheads="1" noChangeAspect="1"/>
                    </pic:cNvPicPr>
                  </pic:nvPicPr>
                  <pic:blipFill>
                    <a:blip r:embed="rId54"/>
                    <a:stretch>
                      <a:fillRect/>
                    </a:stretch>
                  </pic:blipFill>
                  <pic:spPr bwMode="auto">
                    <a:xfrm>
                      <a:off x="0" y="0"/>
                      <a:ext cx="5334000" cy="2705528"/>
                    </a:xfrm>
                    <a:prstGeom prst="rect">
                      <a:avLst/>
                    </a:prstGeom>
                    <a:noFill/>
                    <a:ln w="9525">
                      <a:noFill/>
                      <a:headEnd/>
                      <a:tailEnd/>
                    </a:ln>
                  </pic:spPr>
                </pic:pic>
              </a:graphicData>
            </a:graphic>
          </wp:inline>
        </w:drawing>
      </w:r>
    </w:p>
    <w:p>
      <w:pPr>
        <w:pStyle w:val="ImageCaption"/>
      </w:pPr>
      <w:r>
        <w:rPr>
          <w:rFonts w:hint="eastAsia"/>
        </w:rPr>
        <w:t xml:space="preserve">图5-9</w:t>
      </w:r>
      <w:r>
        <w:t xml:space="preserve"> </w:t>
      </w:r>
      <w:r>
        <w:rPr>
          <w:rFonts w:hint="eastAsia"/>
        </w:rPr>
        <w:t xml:space="preserve">价格重定价收入与毛收益对比</w:t>
      </w:r>
    </w:p>
    <w:p>
      <w:pPr>
        <w:pStyle w:val="BodyText"/>
      </w:pPr>
      <w:r>
        <w:rPr>
          <w:rFonts w:hint="eastAsia"/>
        </w:rPr>
        <w:t xml:space="preserve">图</w:t>
      </w:r>
      <w:r>
        <w:t xml:space="preserve"> 5-10 </w:t>
      </w:r>
      <w:r>
        <w:rPr>
          <w:rFonts w:hint="eastAsia"/>
        </w:rPr>
        <w:t xml:space="preserve">和图</w:t>
      </w:r>
      <w:r>
        <w:t xml:space="preserve"> 5-11 </w:t>
      </w:r>
      <w:r>
        <w:rPr>
          <w:rFonts w:hint="eastAsia"/>
        </w:rPr>
        <w:t xml:space="preserve">展示建设投资和离岸距离影响。建设投资变化主要通过年化投资负担影响项目净现金，不会自动改变逐小时调度结果。</w:t>
      </w:r>
    </w:p>
    <w:p>
      <w:pPr>
        <w:pStyle w:val="CaptionedFigure"/>
      </w:pPr>
      <w:r>
        <w:drawing>
          <wp:inline>
            <wp:extent cx="5334000" cy="2607227"/>
            <wp:effectExtent b="0" l="0" r="0" t="0"/>
            <wp:docPr descr="图5-10 生命周期重算下的净现金变化" title="" id="58" name="Picture"/>
            <a:graphic>
              <a:graphicData uri="http://schemas.openxmlformats.org/drawingml/2006/picture">
                <pic:pic>
                  <pic:nvPicPr>
                    <pic:cNvPr descr="figures/c5_56_cost_delta_bar.png" id="59" name="Picture"/>
                    <pic:cNvPicPr>
                      <a:picLocks noChangeArrowheads="1" noChangeAspect="1"/>
                    </pic:cNvPicPr>
                  </pic:nvPicPr>
                  <pic:blipFill>
                    <a:blip r:embed="rId57"/>
                    <a:stretch>
                      <a:fillRect/>
                    </a:stretch>
                  </pic:blipFill>
                  <pic:spPr bwMode="auto">
                    <a:xfrm>
                      <a:off x="0" y="0"/>
                      <a:ext cx="5334000" cy="2607227"/>
                    </a:xfrm>
                    <a:prstGeom prst="rect">
                      <a:avLst/>
                    </a:prstGeom>
                    <a:noFill/>
                    <a:ln w="9525">
                      <a:noFill/>
                      <a:headEnd/>
                      <a:tailEnd/>
                    </a:ln>
                  </pic:spPr>
                </pic:pic>
              </a:graphicData>
            </a:graphic>
          </wp:inline>
        </w:drawing>
      </w:r>
    </w:p>
    <w:p>
      <w:pPr>
        <w:pStyle w:val="ImageCaption"/>
      </w:pPr>
      <w:r>
        <w:rPr>
          <w:rFonts w:hint="eastAsia"/>
        </w:rPr>
        <w:t xml:space="preserve">图5-10</w:t>
      </w:r>
      <w:r>
        <w:t xml:space="preserve"> </w:t>
      </w:r>
      <w:r>
        <w:rPr>
          <w:rFonts w:hint="eastAsia"/>
        </w:rPr>
        <w:t xml:space="preserve">生命周期重算下的净现金变化</w:t>
      </w:r>
    </w:p>
    <w:p>
      <w:pPr>
        <w:pStyle w:val="CaptionedFigure"/>
      </w:pPr>
      <w:r>
        <w:drawing>
          <wp:inline>
            <wp:extent cx="5334000" cy="2985954"/>
            <wp:effectExtent b="0" l="0" r="0" t="0"/>
            <wp:docPr descr="图5-11 离岸距离建设投资代理敏感性" title="" id="61" name="Picture"/>
            <a:graphic>
              <a:graphicData uri="http://schemas.openxmlformats.org/drawingml/2006/picture">
                <pic:pic>
                  <pic:nvPicPr>
                    <pic:cNvPr descr="figures/c5_56_distance_capex_line.png" id="62" name="Picture"/>
                    <pic:cNvPicPr>
                      <a:picLocks noChangeArrowheads="1" noChangeAspect="1"/>
                    </pic:cNvPicPr>
                  </pic:nvPicPr>
                  <pic:blipFill>
                    <a:blip r:embed="rId60"/>
                    <a:stretch>
                      <a:fillRect/>
                    </a:stretch>
                  </pic:blipFill>
                  <pic:spPr bwMode="auto">
                    <a:xfrm>
                      <a:off x="0" y="0"/>
                      <a:ext cx="5334000" cy="2985954"/>
                    </a:xfrm>
                    <a:prstGeom prst="rect">
                      <a:avLst/>
                    </a:prstGeom>
                    <a:noFill/>
                    <a:ln w="9525">
                      <a:noFill/>
                      <a:headEnd/>
                      <a:tailEnd/>
                    </a:ln>
                  </pic:spPr>
                </pic:pic>
              </a:graphicData>
            </a:graphic>
          </wp:inline>
        </w:drawing>
      </w:r>
    </w:p>
    <w:p>
      <w:pPr>
        <w:pStyle w:val="ImageCaption"/>
      </w:pPr>
      <w:r>
        <w:rPr>
          <w:rFonts w:hint="eastAsia"/>
        </w:rPr>
        <w:t xml:space="preserve">图5-11</w:t>
      </w:r>
      <w:r>
        <w:t xml:space="preserve"> </w:t>
      </w:r>
      <w:r>
        <w:rPr>
          <w:rFonts w:hint="eastAsia"/>
        </w:rPr>
        <w:t xml:space="preserve">离岸距离建设投资代理敏感性</w:t>
      </w:r>
    </w:p>
    <w:p>
      <w:pPr>
        <w:pStyle w:val="BodyText"/>
      </w:pPr>
      <w:r>
        <w:rPr>
          <w:rFonts w:hint="eastAsia"/>
        </w:rPr>
        <w:t xml:space="preserve">图</w:t>
      </w:r>
      <w:r>
        <w:t xml:space="preserve"> 5-12 </w:t>
      </w:r>
      <w:r>
        <w:rPr>
          <w:rFonts w:hint="eastAsia"/>
        </w:rPr>
        <w:t xml:space="preserve">和图</w:t>
      </w:r>
      <w:r>
        <w:t xml:space="preserve"> 5-13 </w:t>
      </w:r>
      <w:r>
        <w:rPr>
          <w:rFonts w:hint="eastAsia"/>
        </w:rPr>
        <w:t xml:space="preserve">展示会改变可行域的全年重跑结果，用于区分收益变化和可靠性边界变化。</w:t>
      </w:r>
    </w:p>
    <w:p>
      <w:pPr>
        <w:pStyle w:val="CaptionedFigure"/>
      </w:pPr>
      <w:r>
        <w:drawing>
          <wp:inline>
            <wp:extent cx="5334000" cy="3536855"/>
            <wp:effectExtent b="0" l="0" r="0" t="0"/>
            <wp:docPr descr="图5-12 边界场景关键指标对比" title="" id="64" name="Picture"/>
            <a:graphic>
              <a:graphicData uri="http://schemas.openxmlformats.org/drawingml/2006/picture">
                <pic:pic>
                  <pic:nvPicPr>
                    <pic:cNvPr descr="figures/c5_56_boundary_kpi_line_grid.png" id="65" name="Picture"/>
                    <pic:cNvPicPr>
                      <a:picLocks noChangeArrowheads="1" noChangeAspect="1"/>
                    </pic:cNvPicPr>
                  </pic:nvPicPr>
                  <pic:blipFill>
                    <a:blip r:embed="rId63"/>
                    <a:stretch>
                      <a:fillRect/>
                    </a:stretch>
                  </pic:blipFill>
                  <pic:spPr bwMode="auto">
                    <a:xfrm>
                      <a:off x="0" y="0"/>
                      <a:ext cx="5334000" cy="3536855"/>
                    </a:xfrm>
                    <a:prstGeom prst="rect">
                      <a:avLst/>
                    </a:prstGeom>
                    <a:noFill/>
                    <a:ln w="9525">
                      <a:noFill/>
                      <a:headEnd/>
                      <a:tailEnd/>
                    </a:ln>
                  </pic:spPr>
                </pic:pic>
              </a:graphicData>
            </a:graphic>
          </wp:inline>
        </w:drawing>
      </w:r>
    </w:p>
    <w:p>
      <w:pPr>
        <w:pStyle w:val="ImageCaption"/>
      </w:pPr>
      <w:r>
        <w:rPr>
          <w:rFonts w:hint="eastAsia"/>
        </w:rPr>
        <w:t xml:space="preserve">图5-12</w:t>
      </w:r>
      <w:r>
        <w:t xml:space="preserve"> </w:t>
      </w:r>
      <w:r>
        <w:rPr>
          <w:rFonts w:hint="eastAsia"/>
        </w:rPr>
        <w:t xml:space="preserve">边界场景关键指标对比</w:t>
      </w:r>
    </w:p>
    <w:p>
      <w:pPr>
        <w:pStyle w:val="CaptionedFigure"/>
      </w:pPr>
      <w:r>
        <w:drawing>
          <wp:inline>
            <wp:extent cx="5334000" cy="2601534"/>
            <wp:effectExtent b="0" l="0" r="0" t="0"/>
            <wp:docPr descr="图5-13 边界场景回退小时数对比" title="" id="67" name="Picture"/>
            <a:graphic>
              <a:graphicData uri="http://schemas.openxmlformats.org/drawingml/2006/picture">
                <pic:pic>
                  <pic:nvPicPr>
                    <pic:cNvPr descr="figures/c5_56_boundary_relaxation_bar.png" id="68" name="Picture"/>
                    <pic:cNvPicPr>
                      <a:picLocks noChangeArrowheads="1" noChangeAspect="1"/>
                    </pic:cNvPicPr>
                  </pic:nvPicPr>
                  <pic:blipFill>
                    <a:blip r:embed="rId66"/>
                    <a:stretch>
                      <a:fillRect/>
                    </a:stretch>
                  </pic:blipFill>
                  <pic:spPr bwMode="auto">
                    <a:xfrm>
                      <a:off x="0" y="0"/>
                      <a:ext cx="5334000" cy="2601534"/>
                    </a:xfrm>
                    <a:prstGeom prst="rect">
                      <a:avLst/>
                    </a:prstGeom>
                    <a:noFill/>
                    <a:ln w="9525">
                      <a:noFill/>
                      <a:headEnd/>
                      <a:tailEnd/>
                    </a:ln>
                  </pic:spPr>
                </pic:pic>
              </a:graphicData>
            </a:graphic>
          </wp:inline>
        </w:drawing>
      </w:r>
    </w:p>
    <w:p>
      <w:pPr>
        <w:pStyle w:val="ImageCaption"/>
      </w:pPr>
      <w:r>
        <w:rPr>
          <w:rFonts w:hint="eastAsia"/>
        </w:rPr>
        <w:t xml:space="preserve">图5-13</w:t>
      </w:r>
      <w:r>
        <w:t xml:space="preserve"> </w:t>
      </w:r>
      <w:r>
        <w:rPr>
          <w:rFonts w:hint="eastAsia"/>
        </w:rPr>
        <w:t xml:space="preserve">边界场景回退小时数对比</w:t>
      </w:r>
    </w:p>
    <w:p>
      <w:pPr>
        <w:pStyle w:val="BodyText"/>
      </w:pPr>
      <w:r>
        <w:rPr>
          <w:rFonts w:hint="eastAsia"/>
        </w:rPr>
        <w:t xml:space="preserve">图</w:t>
      </w:r>
      <w:r>
        <w:t xml:space="preserve"> 5-14 </w:t>
      </w:r>
      <w:r>
        <w:rPr>
          <w:rFonts w:hint="eastAsia"/>
        </w:rPr>
        <w:t xml:space="preserve">和图</w:t>
      </w:r>
      <w:r>
        <w:t xml:space="preserve"> 5-15 </w:t>
      </w:r>
      <w:r>
        <w:rPr>
          <w:rFonts w:hint="eastAsia"/>
        </w:rPr>
        <w:t xml:space="preserve">展示逐时响应。累计现金曲线用于观察全年收益积累，事件窗口缺供曲线用于定位极端天气下的可靠性压力。</w:t>
      </w:r>
    </w:p>
    <w:p>
      <w:pPr>
        <w:pStyle w:val="CaptionedFigure"/>
      </w:pPr>
      <w:r>
        <w:drawing>
          <wp:inline>
            <wp:extent cx="5334000" cy="2465839"/>
            <wp:effectExtent b="0" l="0" r="0" t="0"/>
            <wp:docPr descr="图5-14 边界场景逐时累计现金毛收益" title="" id="70" name="Picture"/>
            <a:graphic>
              <a:graphicData uri="http://schemas.openxmlformats.org/drawingml/2006/picture">
                <pic:pic>
                  <pic:nvPicPr>
                    <pic:cNvPr descr="figures/c5_56_hourly_cumulative_cash_margin_line.png" id="71" name="Picture"/>
                    <pic:cNvPicPr>
                      <a:picLocks noChangeArrowheads="1" noChangeAspect="1"/>
                    </pic:cNvPicPr>
                  </pic:nvPicPr>
                  <pic:blipFill>
                    <a:blip r:embed="rId69"/>
                    <a:stretch>
                      <a:fillRect/>
                    </a:stretch>
                  </pic:blipFill>
                  <pic:spPr bwMode="auto">
                    <a:xfrm>
                      <a:off x="0" y="0"/>
                      <a:ext cx="5334000" cy="2465839"/>
                    </a:xfrm>
                    <a:prstGeom prst="rect">
                      <a:avLst/>
                    </a:prstGeom>
                    <a:noFill/>
                    <a:ln w="9525">
                      <a:noFill/>
                      <a:headEnd/>
                      <a:tailEnd/>
                    </a:ln>
                  </pic:spPr>
                </pic:pic>
              </a:graphicData>
            </a:graphic>
          </wp:inline>
        </w:drawing>
      </w:r>
    </w:p>
    <w:p>
      <w:pPr>
        <w:pStyle w:val="ImageCaption"/>
      </w:pPr>
      <w:r>
        <w:rPr>
          <w:rFonts w:hint="eastAsia"/>
        </w:rPr>
        <w:t xml:space="preserve">图5-14</w:t>
      </w:r>
      <w:r>
        <w:t xml:space="preserve"> </w:t>
      </w:r>
      <w:r>
        <w:rPr>
          <w:rFonts w:hint="eastAsia"/>
        </w:rPr>
        <w:t xml:space="preserve">边界场景逐时累计现金毛收益</w:t>
      </w:r>
    </w:p>
    <w:p>
      <w:pPr>
        <w:pStyle w:val="CaptionedFigure"/>
      </w:pPr>
      <w:r>
        <w:drawing>
          <wp:inline>
            <wp:extent cx="5334000" cy="2468241"/>
            <wp:effectExtent b="0" l="0" r="0" t="0"/>
            <wp:docPr descr="图5-15 边界场景逐时缺供电量" title="" id="73" name="Picture"/>
            <a:graphic>
              <a:graphicData uri="http://schemas.openxmlformats.org/drawingml/2006/picture">
                <pic:pic>
                  <pic:nvPicPr>
                    <pic:cNvPr descr="figures/c5_56_hourly_typhoon_ens_line.png" id="74" name="Picture"/>
                    <pic:cNvPicPr>
                      <a:picLocks noChangeArrowheads="1" noChangeAspect="1"/>
                    </pic:cNvPicPr>
                  </pic:nvPicPr>
                  <pic:blipFill>
                    <a:blip r:embed="rId72"/>
                    <a:stretch>
                      <a:fillRect/>
                    </a:stretch>
                  </pic:blipFill>
                  <pic:spPr bwMode="auto">
                    <a:xfrm>
                      <a:off x="0" y="0"/>
                      <a:ext cx="5334000" cy="2468241"/>
                    </a:xfrm>
                    <a:prstGeom prst="rect">
                      <a:avLst/>
                    </a:prstGeom>
                    <a:noFill/>
                    <a:ln w="9525">
                      <a:noFill/>
                      <a:headEnd/>
                      <a:tailEnd/>
                    </a:ln>
                  </pic:spPr>
                </pic:pic>
              </a:graphicData>
            </a:graphic>
          </wp:inline>
        </w:drawing>
      </w:r>
    </w:p>
    <w:p>
      <w:pPr>
        <w:pStyle w:val="ImageCaption"/>
      </w:pPr>
      <w:r>
        <w:rPr>
          <w:rFonts w:hint="eastAsia"/>
        </w:rPr>
        <w:t xml:space="preserve">图5-15</w:t>
      </w:r>
      <w:r>
        <w:t xml:space="preserve"> </w:t>
      </w:r>
      <w:r>
        <w:rPr>
          <w:rFonts w:hint="eastAsia"/>
        </w:rPr>
        <w:t xml:space="preserve">边界场景逐时缺供电量</w:t>
      </w:r>
    </w:p>
    <w:bookmarkEnd w:id="75"/>
    <w:bookmarkStart w:id="76" w:name="敏感性结论"/>
    <w:p>
      <w:pPr>
        <w:pStyle w:val="Heading3"/>
      </w:pPr>
      <w:r>
        <w:t xml:space="preserve">5.6.5 </w:t>
      </w:r>
      <w:r>
        <w:rPr>
          <w:rFonts w:hint="eastAsia"/>
        </w:rPr>
        <w:t xml:space="preserve">敏感性结论</w:t>
      </w:r>
    </w:p>
    <w:p>
      <w:pPr>
        <w:pStyle w:val="FirstParagraph"/>
      </w:pPr>
      <w:r>
        <w:rPr>
          <w:rFonts w:hint="eastAsia"/>
        </w:rPr>
        <w:t xml:space="preserve">价格参数适合先做固定调度重估，建设投资适合走生命周期台账，只有会改变可行域的边界假设才需要全年重跑。当前结果显示，算力服务价格是最大收入杠杆，柔性算力比例是更关键的可靠性杠杆，海缆损耗主要影响受端电量和收入。其余待补场景不写入正文结论，避免把待办内容误写成已完成证据。</w:t>
      </w:r>
    </w:p>
    <w:bookmarkEnd w:id="76"/>
    <w:bookmarkEnd w:id="77"/>
    <w:bookmarkStart w:id="78" w:name="本章仿真结论"/>
    <w:p>
      <w:pPr>
        <w:pStyle w:val="Heading2"/>
      </w:pPr>
      <w:r>
        <w:t xml:space="preserve">5.7 </w:t>
      </w:r>
      <w:r>
        <w:rPr>
          <w:rFonts w:hint="eastAsia"/>
        </w:rPr>
        <w:t xml:space="preserve">本章仿真结论</w:t>
      </w:r>
    </w:p>
    <w:p>
      <w:pPr>
        <w:pStyle w:val="FirstParagraph"/>
      </w:pPr>
      <w:r>
        <w:rPr>
          <w:rFonts w:hint="eastAsia"/>
        </w:rPr>
        <w:t xml:space="preserve">本章的核心结论可以概括为四点。</w:t>
      </w:r>
    </w:p>
    <w:p>
      <w:pPr>
        <w:pStyle w:val="BodyText"/>
      </w:pPr>
      <w:r>
        <w:rPr>
          <w:rFonts w:hint="eastAsia"/>
        </w:rPr>
        <w:t xml:space="preserve">第一，48</w:t>
      </w:r>
      <w:r>
        <w:t xml:space="preserve"> h </w:t>
      </w:r>
      <w:r>
        <w:rPr>
          <w:rFonts w:hint="eastAsia"/>
        </w:rPr>
        <w:t xml:space="preserve">正常典型场景来自年度正常运行序列，不是人工压力测试。该窗口可用于比较四类方案在同一短窗内的调度差异，但不能直接外推为年度投资结论。</w:t>
      </w:r>
    </w:p>
    <w:p>
      <w:pPr>
        <w:pStyle w:val="BodyText"/>
      </w:pPr>
      <w:r>
        <w:rPr>
          <w:rFonts w:hint="eastAsia"/>
        </w:rPr>
        <w:t xml:space="preserve">第二，在</w:t>
      </w:r>
      <w:r>
        <w:t xml:space="preserve"> 48 h </w:t>
      </w:r>
      <w:r>
        <w:rPr>
          <w:rFonts w:hint="eastAsia"/>
        </w:rPr>
        <w:t xml:space="preserve">正常窗口中，在线混合策略的消纳率为</w:t>
      </w:r>
      <w:r>
        <w:t xml:space="preserve"> </w:t>
      </w:r>
      <w:r>
        <w:rPr>
          <w:rFonts w:hint="eastAsia"/>
        </w:rPr>
        <w:t xml:space="preserve">96.780%，弃能为</w:t>
      </w:r>
      <w:r>
        <w:t xml:space="preserve"> 272.130 </w:t>
      </w:r>
      <w:r>
        <w:rPr>
          <w:rFonts w:hint="eastAsia"/>
        </w:rPr>
        <w:t xml:space="preserve">MWh，现金运行毛收益为</w:t>
      </w:r>
      <w:r>
        <w:t xml:space="preserve"> 6.756 </w:t>
      </w:r>
      <w:r>
        <w:rPr>
          <w:rFonts w:hint="eastAsia"/>
        </w:rPr>
        <w:t xml:space="preserve">百万元，整体优于三类单一出口基准。纯电基准消纳较高，纯算基准单位电量变现较强，纯氢基准在当前短窗价格和控制口径下启动不足。</w:t>
      </w:r>
    </w:p>
    <w:p>
      <w:pPr>
        <w:pStyle w:val="BodyText"/>
      </w:pPr>
      <w:r>
        <w:rPr>
          <w:rFonts w:hint="eastAsia"/>
        </w:rPr>
        <w:t xml:space="preserve">第三，在年度口径下，在线混合策略相对纯电基准把新能源消纳率从</w:t>
      </w:r>
      <w:r>
        <w:t xml:space="preserve"> 60.140% </w:t>
      </w:r>
      <w:r>
        <w:rPr>
          <w:rFonts w:hint="eastAsia"/>
        </w:rPr>
        <w:t xml:space="preserve">提高到</w:t>
      </w:r>
      <w:r>
        <w:t xml:space="preserve"> </w:t>
      </w:r>
      <w:r>
        <w:rPr>
          <w:rFonts w:hint="eastAsia"/>
        </w:rPr>
        <w:t xml:space="preserve">74.899%，减少弃能</w:t>
      </w:r>
      <w:r>
        <w:t xml:space="preserve"> 297,254.003 </w:t>
      </w:r>
      <w:r>
        <w:rPr>
          <w:rFonts w:hint="eastAsia"/>
        </w:rPr>
        <w:t xml:space="preserve">MWh，并增加现金运行毛收益</w:t>
      </w:r>
      <w:r>
        <w:t xml:space="preserve"> 942.646 </w:t>
      </w:r>
      <w:r>
        <w:rPr>
          <w:rFonts w:hint="eastAsia"/>
        </w:rPr>
        <w:t xml:space="preserve">百万元。该结论只适用于“在线混合策略相对纯电基准”的年度对比，年度纯氢和纯算基准仍需补齐。</w:t>
      </w:r>
    </w:p>
    <w:p>
      <w:pPr>
        <w:pStyle w:val="BodyText"/>
      </w:pPr>
      <w:r>
        <w:rPr>
          <w:rFonts w:hint="eastAsia"/>
        </w:rPr>
        <w:t xml:space="preserve">第四，年度可靠性仍是主要短板。在线混合策略全年均完成求解并通过代数审计，但年度缺供仍为</w:t>
      </w:r>
      <w:r>
        <w:t xml:space="preserve"> 2,248.455 </w:t>
      </w:r>
      <w:r>
        <w:rPr>
          <w:rFonts w:hint="eastAsia"/>
        </w:rPr>
        <w:t xml:space="preserve">MWh；在</w:t>
      </w:r>
      <w:r>
        <w:t xml:space="preserve"> 24 h </w:t>
      </w:r>
      <w:r>
        <w:rPr>
          <w:rFonts w:hint="eastAsia"/>
        </w:rPr>
        <w:t xml:space="preserve">台风过境代理阶段，源侧可用功率为</w:t>
      </w:r>
      <w:r>
        <w:t xml:space="preserve"> </w:t>
      </w:r>
      <w:r>
        <w:rPr>
          <w:rFonts w:hint="eastAsia"/>
        </w:rPr>
        <w:t xml:space="preserve">0，并出现</w:t>
      </w:r>
      <w:r>
        <w:t xml:space="preserve"> 341.340 MWh </w:t>
      </w:r>
      <w:r>
        <w:rPr>
          <w:rFonts w:hint="eastAsia"/>
        </w:rPr>
        <w:t xml:space="preserve">缺供。因此，当前主账不能写成极端天气下严格零缺供，后续应把可靠性增强和项目层收益测算分开验收。</w:t>
      </w:r>
    </w:p>
    <w:bookmarkEnd w:id="78"/>
    <w:bookmarkStart w:id="79" w:name="结果归档"/>
    <w:p>
      <w:pPr>
        <w:pStyle w:val="Heading2"/>
      </w:pPr>
      <w:r>
        <w:rPr>
          <w:rFonts w:hint="eastAsia"/>
        </w:rPr>
        <w:t xml:space="preserve">结果归档</w:t>
      </w:r>
    </w:p>
    <w:p>
      <w:pPr>
        <w:pStyle w:val="FirstParagraph"/>
      </w:pPr>
      <w:r>
        <w:rPr>
          <w:rFonts w:hint="eastAsia"/>
        </w:rPr>
        <w:t xml:space="preserve">本章正文只保留图表和关键结论；逐小时明细、敏感性处理表和边界重跑台账保留在仓库结果目录中，供复核和后续补算使用。</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54" Target="media/rId54.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2026-08-07T10:24:06Z</dcterms:created>
  <dcterms:modified xsi:type="dcterms:W3CDTF">2026-08-07T10:24:06Z</dcterms:modified>
</cp:coreProperties>
</file>

<file path=docProps/custom.xml><?xml version="1.0" encoding="utf-8"?>
<Properties xmlns="http://schemas.openxmlformats.org/officeDocument/2006/custom-properties" xmlns:vt="http://schemas.openxmlformats.org/officeDocument/2006/docPropsVTypes"/>
</file>