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0A93C6">
      <w:pPr>
        <w:pStyle w:val="3"/>
        <w:rPr>
          <w:color w:val="auto"/>
        </w:rPr>
      </w:pPr>
      <w:r>
        <w:rPr>
          <w:color w:val="auto"/>
        </w:rPr>
        <w:t>第六章 投资模式、产业落地与收益扩展</w:t>
      </w:r>
    </w:p>
    <w:p w14:paraId="436DFEFD">
      <w:pPr>
        <w:rPr>
          <w:color w:val="auto"/>
        </w:rPr>
      </w:pPr>
      <w:r>
        <w:rPr>
          <w:color w:val="auto"/>
        </w:rPr>
        <w:t>第五章已证明系统机制可运行且运行层现金毛收益为正。本章围绕项目落地、收益增长、产业生态与实施保障四个环节，论证“蓝海枢纽”从示范项目走向未来产业的可行路径。</w:t>
      </w:r>
    </w:p>
    <w:p w14:paraId="40298ECC">
      <w:pPr>
        <w:rPr>
          <w:color w:val="auto"/>
        </w:rPr>
      </w:pPr>
      <w:r>
        <w:t>本章所论证的未来产业，具体指“深远海绿电多形态转化与离岸交付产业”：以深远海绿电为能源底座，依托“源储算用”协同运行的深远海能源岛，在海上就地完成“绿电—算力—氢氨—海洋服务”的多形态转化，并向电网、算力用户、氢氨市场与海洋设施离岸交付。该产业边界覆盖上游装备与材料、中游集成与运行、下游产品与服务及配套支撑体系四类主体；其中，“源储算用”是本项目提出的系统组织概念，描述“电源—储能—算力—多元用能”的协同架构，本身并不构成产业。据此，本章从“产业可行性论证”与“产业培育放大”两条主线展开：6.1 与 6.2 通过分级验证、投资组织与收益机制，把该产业在工程、商业与财务上的可落地性转化为可验证、可停止、可调整的阶段决策条件；6.3 通过产业链传导、生态闭环与近中远期培育路径，说明产业如何由示范项目放大为可持续的产业生态；6.4 以政策机制、示范工程与风险保障为产业培育提供实施支撑。</w:t>
      </w:r>
    </w:p>
    <w:p w14:paraId="5A8CE836">
      <w:pPr>
        <w:rPr>
          <w:color w:val="auto"/>
        </w:rPr>
      </w:pPr>
      <w:r>
        <w:rPr>
          <w:color w:val="auto"/>
        </w:rPr>
        <w:t>论证方法：以“技术—经济—政策—风险”四维框架组织论证，综合第五章证据与 SWOT、多准则决策分析（MCDA）、技术路线图、分阶段投资（实物期权逻辑）、情景—敏感性分析等工具，辅以公开资料代理测算，确保论证可追溯。</w:t>
      </w:r>
    </w:p>
    <w:p w14:paraId="3DD06474">
      <w:pPr>
        <w:pStyle w:val="3"/>
        <w:rPr>
          <w:rFonts w:hint="default" w:eastAsia="宋体"/>
          <w:color w:val="auto"/>
          <w:lang w:val="en-US" w:eastAsia="zh-CN"/>
        </w:rPr>
      </w:pPr>
      <w:r>
        <w:rPr>
          <w:color w:val="auto"/>
        </w:rPr>
        <w:t>6.1 项目落地的技术验证与</w:t>
      </w:r>
      <w:r>
        <w:rPr>
          <w:rFonts w:hint="eastAsia"/>
          <w:color w:val="auto"/>
          <w:lang w:val="en-US" w:eastAsia="zh-CN"/>
        </w:rPr>
        <w:t>商业模式</w:t>
      </w:r>
    </w:p>
    <w:p w14:paraId="5A06A412">
      <w:pPr>
        <w:rPr>
          <w:color w:val="auto"/>
        </w:rPr>
      </w:pPr>
      <w:r>
        <w:rPr>
          <w:color w:val="auto"/>
        </w:rPr>
        <w:t>本节回答产业在工程与商业上如何落地：以分级验证与商业模式安排、最小资本完成示范落地，把“仿真可行”转化为“现实可建、可投、可运营”。“先买证据、再投资产”本质是分阶段投资（实物期权逻辑）：以包 A/B 的有限前期投入购买证据、保留增长期权，同时限制下行风险。</w:t>
      </w:r>
    </w:p>
    <w:p w14:paraId="567BC35F">
      <w:pPr>
        <w:pStyle w:val="4"/>
        <w:rPr>
          <w:color w:val="auto"/>
        </w:rPr>
      </w:pPr>
      <w:r>
        <w:rPr>
          <w:color w:val="auto"/>
        </w:rPr>
        <w:t xml:space="preserve">6.1.1 </w:t>
      </w:r>
      <w:r>
        <w:rPr>
          <w:rFonts w:hint="eastAsia" w:eastAsia="宋体"/>
          <w:color w:val="auto"/>
          <w:lang w:val="en-US" w:eastAsia="zh-CN"/>
        </w:rPr>
        <w:t>示范期</w:t>
      </w:r>
      <w:r>
        <w:rPr>
          <w:color w:val="auto"/>
        </w:rPr>
        <w:t>分级验证与验证标准</w:t>
      </w:r>
    </w:p>
    <w:p w14:paraId="700B025F">
      <w:pPr>
        <w:rPr>
          <w:rFonts w:hint="eastAsia" w:eastAsia="宋体"/>
          <w:color w:val="auto"/>
          <w:lang w:eastAsia="zh-CN"/>
        </w:rPr>
      </w:pPr>
      <w:r>
        <w:rPr>
          <w:color w:val="auto"/>
        </w:rPr>
        <w:t>海洋工程验证成本高、返工代价大，只能按证据成熟度分级推进：G0–G2 在示范期内完成，G3 将成果固化为标准设计包，作为向规模推广期转段的桥梁；G0–G3 同时构成技术成熟度（TRL）向工程示范跃迁的路径（图 6-1）。</w:t>
      </w:r>
    </w:p>
    <w:p w14:paraId="572897F0">
      <w:pPr>
        <w:jc w:val="center"/>
        <w:rPr>
          <w:rFonts w:hint="eastAsia" w:eastAsia="宋体"/>
          <w:color w:val="auto"/>
          <w:lang w:eastAsia="zh-CN"/>
        </w:rPr>
      </w:pPr>
      <w:r>
        <w:rPr>
          <w:rFonts w:hint="eastAsia" w:eastAsia="宋体"/>
          <w:color w:val="auto"/>
          <w:lang w:eastAsia="zh-CN"/>
        </w:rPr>
        <w:drawing>
          <wp:inline distT="0" distB="0" distL="114300" distR="114300">
            <wp:extent cx="4334510" cy="2702560"/>
            <wp:effectExtent l="0" t="0" r="8890" b="2540"/>
            <wp:docPr id="3" name="图片 3" descr="ChatGPT Image 2026年8月7日 11_10_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hatGPT Image 2026年8月7日 11_10_36"/>
                    <pic:cNvPicPr>
                      <a:picLocks noChangeAspect="1"/>
                    </pic:cNvPicPr>
                  </pic:nvPicPr>
                  <pic:blipFill>
                    <a:blip r:embed="rId6"/>
                    <a:srcRect t="3205" b="4728"/>
                    <a:stretch>
                      <a:fillRect/>
                    </a:stretch>
                  </pic:blipFill>
                  <pic:spPr>
                    <a:xfrm>
                      <a:off x="0" y="0"/>
                      <a:ext cx="4334510" cy="2702560"/>
                    </a:xfrm>
                    <a:prstGeom prst="rect">
                      <a:avLst/>
                    </a:prstGeom>
                  </pic:spPr>
                </pic:pic>
              </a:graphicData>
            </a:graphic>
          </wp:inline>
        </w:drawing>
      </w:r>
    </w:p>
    <w:p w14:paraId="766E796F">
      <w:pPr>
        <w:spacing w:before="80" w:after="80" w:line="264" w:lineRule="auto"/>
        <w:jc w:val="center"/>
        <w:rPr>
          <w:color w:val="auto"/>
        </w:rPr>
      </w:pPr>
      <w:r>
        <w:rPr>
          <w:rFonts w:ascii="Calibri" w:hAnsi="Calibri" w:eastAsia="宋体"/>
          <w:b/>
          <w:color w:val="auto"/>
          <w:sz w:val="20"/>
        </w:rPr>
        <w:t>图6-1</w:t>
      </w:r>
      <w:r>
        <w:rPr>
          <w:rFonts w:hint="eastAsia" w:ascii="Calibri" w:hAnsi="Calibri" w:eastAsia="宋体"/>
          <w:b/>
          <w:color w:val="auto"/>
          <w:sz w:val="20"/>
          <w:lang w:val="en-US" w:eastAsia="zh-CN"/>
        </w:rPr>
        <w:t xml:space="preserve"> </w:t>
      </w:r>
      <w:r>
        <w:rPr>
          <w:rFonts w:ascii="Calibri" w:hAnsi="Calibri" w:eastAsia="宋体"/>
          <w:b/>
          <w:color w:val="auto"/>
          <w:sz w:val="20"/>
        </w:rPr>
        <w:t xml:space="preserve">G0–G3 </w:t>
      </w:r>
      <w:r>
        <w:rPr>
          <w:rFonts w:hint="eastAsia" w:ascii="Calibri" w:hAnsi="Calibri" w:eastAsia="宋体"/>
          <w:b/>
          <w:color w:val="auto"/>
          <w:sz w:val="20"/>
          <w:lang w:val="en-US" w:eastAsia="zh-CN"/>
        </w:rPr>
        <w:t>示范期</w:t>
      </w:r>
      <w:r>
        <w:rPr>
          <w:rFonts w:ascii="Calibri" w:hAnsi="Calibri" w:eastAsia="宋体"/>
          <w:b/>
          <w:color w:val="auto"/>
          <w:sz w:val="20"/>
        </w:rPr>
        <w:t>分级验证</w:t>
      </w:r>
    </w:p>
    <w:p w14:paraId="7A8CF885">
      <w:pPr>
        <w:rPr>
          <w:color w:val="auto"/>
        </w:rPr>
      </w:pPr>
      <w:r>
        <w:rPr>
          <w:color w:val="auto"/>
        </w:rPr>
        <w:t>验证标准：G0 交付系统需求书、接口控制文件与 FMEA 清单；G1 以构网黑启动、EMT/HIL 动态测试、柔性负荷响应和通信中断测试可重复通过、安全联锁经第三方审查为门槛；G2 以不少于 12 个月连续运行并经历完整台风季、无重大安全事件、可用率与交付质量达标、形成可审计台账为验收条件；G3 以标准设计包、采购技术规范与验收规程可直接复用为标准。验证结论以实测证据为准，模型假设或访谈样本不得写入验收标准[1]。</w:t>
      </w:r>
    </w:p>
    <w:p w14:paraId="66DC58AF">
      <w:pPr>
        <w:pStyle w:val="4"/>
        <w:rPr>
          <w:rFonts w:hint="default" w:eastAsia="宋体"/>
          <w:color w:val="auto"/>
          <w:lang w:val="en-US" w:eastAsia="zh-CN"/>
        </w:rPr>
      </w:pPr>
      <w:r>
        <w:rPr>
          <w:color w:val="auto"/>
        </w:rPr>
        <w:t>6.1.</w:t>
      </w:r>
      <w:r>
        <w:rPr>
          <w:rFonts w:hint="eastAsia" w:eastAsia="宋体"/>
          <w:color w:val="auto"/>
          <w:lang w:val="en-US" w:eastAsia="zh-CN"/>
        </w:rPr>
        <w:t>2</w:t>
      </w:r>
      <w:r>
        <w:rPr>
          <w:color w:val="auto"/>
        </w:rPr>
        <w:t xml:space="preserve"> </w:t>
      </w:r>
      <w:r>
        <w:rPr>
          <w:rFonts w:hint="eastAsia" w:eastAsia="宋体"/>
          <w:color w:val="auto"/>
          <w:lang w:val="en-US" w:eastAsia="zh-CN"/>
        </w:rPr>
        <w:t>分阶段运营模式与投资包安排</w:t>
      </w:r>
    </w:p>
    <w:p w14:paraId="471BB328">
      <w:r>
        <w:rPr>
          <w:color w:val="auto"/>
        </w:rPr>
        <w:t>运营模式按示范期与规模推广期两阶段设计，组织载体与投资包随阶段切换，相关机制有国家能源集团及项目实践支撑[2]~[8]。</w:t>
      </w:r>
    </w:p>
    <w:p w14:paraId="54372D9C">
      <w:pPr>
        <w:jc w:val="center"/>
        <w:rPr>
          <w:rFonts w:hint="eastAsia" w:eastAsia="宋体"/>
          <w:color w:val="auto"/>
          <w:lang w:val="en-US" w:eastAsia="zh-CN"/>
        </w:rPr>
      </w:pPr>
      <w:r>
        <w:drawing>
          <wp:inline distT="0" distB="0" distL="114300" distR="114300">
            <wp:extent cx="4393565" cy="1209040"/>
            <wp:effectExtent l="0" t="0" r="635" b="1016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7"/>
                    <a:srcRect l="331" t="1441" r="224" b="50009"/>
                    <a:stretch>
                      <a:fillRect/>
                    </a:stretch>
                  </pic:blipFill>
                  <pic:spPr>
                    <a:xfrm>
                      <a:off x="0" y="0"/>
                      <a:ext cx="4393565" cy="1209040"/>
                    </a:xfrm>
                    <a:prstGeom prst="rect">
                      <a:avLst/>
                    </a:prstGeom>
                    <a:noFill/>
                    <a:ln>
                      <a:noFill/>
                    </a:ln>
                  </pic:spPr>
                </pic:pic>
              </a:graphicData>
            </a:graphic>
          </wp:inline>
        </w:drawing>
      </w:r>
    </w:p>
    <w:p w14:paraId="3DD098B3">
      <w:pPr>
        <w:spacing w:before="80" w:after="80" w:line="264" w:lineRule="auto"/>
        <w:jc w:val="center"/>
        <w:rPr>
          <w:color w:val="auto"/>
        </w:rPr>
      </w:pPr>
      <w:r>
        <w:rPr>
          <w:rFonts w:ascii="Calibri" w:hAnsi="Calibri" w:eastAsia="宋体"/>
          <w:b/>
          <w:color w:val="auto"/>
          <w:sz w:val="20"/>
        </w:rPr>
        <w:t>图6-2</w:t>
      </w:r>
      <w:r>
        <w:rPr>
          <w:rFonts w:hint="eastAsia" w:ascii="Calibri" w:hAnsi="Calibri" w:eastAsia="宋体"/>
          <w:b/>
          <w:color w:val="auto"/>
          <w:sz w:val="20"/>
          <w:lang w:val="en-US" w:eastAsia="zh-CN"/>
        </w:rPr>
        <w:t xml:space="preserve"> </w:t>
      </w:r>
      <w:r>
        <w:rPr>
          <w:rFonts w:ascii="Calibri" w:hAnsi="Calibri" w:eastAsia="宋体"/>
          <w:b/>
          <w:color w:val="auto"/>
          <w:sz w:val="20"/>
        </w:rPr>
        <w:t>示范期分阶段运营模式</w:t>
      </w:r>
    </w:p>
    <w:p w14:paraId="2C264868">
      <w:pPr>
        <w:rPr>
          <w:rFonts w:hint="eastAsia" w:eastAsia="宋体"/>
          <w:color w:val="auto"/>
          <w:lang w:val="en-US" w:eastAsia="zh-CN"/>
        </w:rPr>
      </w:pPr>
      <w:r>
        <w:rPr>
          <w:color w:val="auto"/>
        </w:rPr>
        <w:t>示范期设计优势：以“先买证据、再投资产”为原则，用有限风险资本购买工程与市场证据；单一综合 SPV 统一承担开发、融资、调度、计量、交易与安全责任，避免多业主切割接口责任；核心共用资产以 BOO 长期持有、运维以 LTSA/O&amp;M 外包，将固定自养成本转为可审计服务合同；统一账户与计量支撑 G2 验收；以预算上限与停止条件控制投入节奏，并为“平台公司+专业资产子SPV”转段预留接口。</w:t>
      </w:r>
    </w:p>
    <w:p w14:paraId="4A31F8E2">
      <w:pPr>
        <w:jc w:val="center"/>
        <w:rPr>
          <w:rFonts w:hint="eastAsia" w:eastAsia="宋体"/>
          <w:color w:val="auto"/>
          <w:lang w:val="en-US" w:eastAsia="zh-CN"/>
        </w:rPr>
      </w:pPr>
      <w:r>
        <w:rPr>
          <w:rFonts w:hint="eastAsia" w:eastAsia="宋体"/>
          <w:color w:val="auto"/>
          <w:lang w:val="en-US" w:eastAsia="zh-CN"/>
        </w:rPr>
        <w:drawing>
          <wp:inline distT="0" distB="0" distL="114300" distR="114300">
            <wp:extent cx="4708525" cy="1502410"/>
            <wp:effectExtent l="0" t="0" r="3175" b="8890"/>
            <wp:docPr id="10" name="图片 10" descr="ChatGPT Image 2026年8月7日 12_04_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hatGPT Image 2026年8月7日 12_04_45"/>
                    <pic:cNvPicPr>
                      <a:picLocks noChangeAspect="1"/>
                    </pic:cNvPicPr>
                  </pic:nvPicPr>
                  <pic:blipFill>
                    <a:blip r:embed="rId8"/>
                    <a:srcRect b="43287"/>
                    <a:stretch>
                      <a:fillRect/>
                    </a:stretch>
                  </pic:blipFill>
                  <pic:spPr>
                    <a:xfrm>
                      <a:off x="0" y="0"/>
                      <a:ext cx="4708525" cy="1502410"/>
                    </a:xfrm>
                    <a:prstGeom prst="rect">
                      <a:avLst/>
                    </a:prstGeom>
                  </pic:spPr>
                </pic:pic>
              </a:graphicData>
            </a:graphic>
          </wp:inline>
        </w:drawing>
      </w:r>
    </w:p>
    <w:p w14:paraId="31EAE3C9">
      <w:pPr>
        <w:spacing w:before="80" w:after="80" w:line="264" w:lineRule="auto"/>
        <w:jc w:val="center"/>
        <w:rPr>
          <w:color w:val="auto"/>
        </w:rPr>
      </w:pPr>
      <w:r>
        <w:rPr>
          <w:rFonts w:ascii="Calibri" w:hAnsi="Calibri" w:eastAsia="宋体"/>
          <w:b/>
          <w:color w:val="auto"/>
          <w:sz w:val="20"/>
        </w:rPr>
        <w:t>图6-3　规模推广期分阶段运营模式</w:t>
      </w:r>
    </w:p>
    <w:p w14:paraId="1FBEEBAE">
      <w:pPr>
        <w:rPr>
          <w:rFonts w:hint="eastAsia" w:eastAsia="宋体"/>
          <w:color w:val="auto"/>
          <w:lang w:val="en-US" w:eastAsia="zh-CN"/>
        </w:rPr>
      </w:pPr>
      <w:r>
        <w:rPr>
          <w:color w:val="auto"/>
        </w:rPr>
        <w:t>规模推广期设计优势：以分业经营放大收益；平台公司保留共用设施、统一调度与交易接口，不拆分系统协同与安全责任；风储、算力及条件成熟后的氢能资产由专业子 SPV 独立持有、运营、核算，按各自现金流与风险特征融资评价，实现风险隔离、避免交叉补贴，并可引入专业资本与产业伙伴降低融资成本；仅在转段条件与规模推广闸门标准全部满足后启动扩产。</w:t>
      </w:r>
    </w:p>
    <w:p w14:paraId="51A60EBB">
      <w:pPr>
        <w:rPr>
          <w:color w:val="auto"/>
        </w:rPr>
      </w:pPr>
      <w:r>
        <w:rPr>
          <w:color w:val="auto"/>
        </w:rPr>
        <w:t>配套投资按包 A/B/C 分期推进：包 A（G0 接口定型、G1 陆上联调与认证）与包 B（G2 存量复用海上示范）作为购买证据的风险资本，设预算上限与停止条件；包 C（规模推广经营资产）仅在 G3 转段条件及规模推广闸门标准全部满足后启动（见 6.2.3）。</w:t>
      </w:r>
    </w:p>
    <w:p w14:paraId="48A9B836">
      <w:pPr>
        <w:spacing w:before="0" w:after="120" w:line="264" w:lineRule="auto"/>
        <w:jc w:val="center"/>
        <w:rPr>
          <w:color w:val="auto"/>
        </w:rPr>
      </w:pPr>
      <w:r>
        <w:rPr>
          <w:rFonts w:ascii="Calibri" w:hAnsi="Calibri" w:eastAsia="宋体"/>
          <w:b w:val="0"/>
          <w:color w:val="auto"/>
          <w:sz w:val="19"/>
        </w:rPr>
        <w:t>示范期包 A/B 风险资本预算上限（公开资料代理，具体以实际建设为准）：</w:t>
      </w:r>
    </w:p>
    <w:p w14:paraId="545B3C1D">
      <w:pPr>
        <w:spacing w:before="80" w:after="80" w:line="264" w:lineRule="auto"/>
        <w:jc w:val="center"/>
        <w:rPr>
          <w:color w:val="auto"/>
        </w:rPr>
      </w:pPr>
      <w:r>
        <w:rPr>
          <w:rFonts w:ascii="Calibri" w:hAnsi="Calibri" w:eastAsia="宋体"/>
          <w:b/>
          <w:color w:val="auto"/>
          <w:sz w:val="20"/>
        </w:rPr>
        <w:t>表6-2</w:t>
      </w:r>
      <w:r>
        <w:rPr>
          <w:rFonts w:hint="eastAsia" w:ascii="Calibri" w:hAnsi="Calibri" w:eastAsia="宋体"/>
          <w:b/>
          <w:color w:val="auto"/>
          <w:sz w:val="20"/>
          <w:lang w:val="en-US" w:eastAsia="zh-CN"/>
        </w:rPr>
        <w:t xml:space="preserve"> </w:t>
      </w:r>
      <w:r>
        <w:rPr>
          <w:rFonts w:ascii="Calibri" w:hAnsi="Calibri" w:eastAsia="宋体"/>
          <w:b/>
          <w:color w:val="auto"/>
          <w:sz w:val="20"/>
        </w:rPr>
        <w:t>示范期包 A/B 预算上限</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160"/>
        <w:gridCol w:w="2160"/>
        <w:gridCol w:w="2160"/>
      </w:tblGrid>
      <w:tr w14:paraId="22549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20" w:type="dxa"/>
          </w:tcPr>
          <w:p w14:paraId="3470BB5A">
            <w:pPr>
              <w:jc w:val="center"/>
              <w:rPr>
                <w:color w:val="auto"/>
              </w:rPr>
            </w:pPr>
            <w:r>
              <w:rPr>
                <w:rFonts w:ascii="Calibri" w:hAnsi="Calibri" w:eastAsia="宋体"/>
                <w:b/>
                <w:color w:val="auto"/>
                <w:sz w:val="18"/>
              </w:rPr>
              <w:t>投资包</w:t>
            </w:r>
          </w:p>
        </w:tc>
        <w:tc>
          <w:tcPr>
            <w:tcW w:w="3628" w:type="dxa"/>
          </w:tcPr>
          <w:p w14:paraId="00493EF4">
            <w:pPr>
              <w:jc w:val="center"/>
              <w:rPr>
                <w:color w:val="auto"/>
              </w:rPr>
            </w:pPr>
            <w:r>
              <w:rPr>
                <w:rFonts w:ascii="Calibri" w:hAnsi="Calibri" w:eastAsia="宋体"/>
                <w:b/>
                <w:color w:val="auto"/>
                <w:sz w:val="18"/>
              </w:rPr>
              <w:t>内容</w:t>
            </w:r>
          </w:p>
        </w:tc>
        <w:tc>
          <w:tcPr>
            <w:tcW w:w="1247" w:type="dxa"/>
          </w:tcPr>
          <w:p w14:paraId="1799B89D">
            <w:pPr>
              <w:jc w:val="center"/>
              <w:rPr>
                <w:color w:val="auto"/>
              </w:rPr>
            </w:pPr>
            <w:r>
              <w:rPr>
                <w:rFonts w:ascii="Calibri" w:hAnsi="Calibri" w:eastAsia="宋体"/>
                <w:b/>
                <w:color w:val="auto"/>
                <w:sz w:val="18"/>
              </w:rPr>
              <w:t>预算上限/亿元</w:t>
            </w:r>
          </w:p>
        </w:tc>
        <w:tc>
          <w:tcPr>
            <w:tcW w:w="2721" w:type="dxa"/>
          </w:tcPr>
          <w:p w14:paraId="0E37A7F5">
            <w:pPr>
              <w:jc w:val="center"/>
              <w:rPr>
                <w:color w:val="auto"/>
              </w:rPr>
            </w:pPr>
            <w:r>
              <w:rPr>
                <w:rFonts w:ascii="Calibri" w:hAnsi="Calibri" w:eastAsia="宋体"/>
                <w:b/>
                <w:color w:val="auto"/>
                <w:sz w:val="18"/>
              </w:rPr>
              <w:t>数据参考来源</w:t>
            </w:r>
          </w:p>
        </w:tc>
      </w:tr>
      <w:tr w14:paraId="0167B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tcPr>
          <w:p w14:paraId="28907010">
            <w:pPr>
              <w:jc w:val="center"/>
              <w:rPr>
                <w:color w:val="auto"/>
              </w:rPr>
            </w:pPr>
            <w:r>
              <w:rPr>
                <w:rFonts w:ascii="Calibri" w:hAnsi="Calibri" w:eastAsia="宋体"/>
                <w:b w:val="0"/>
                <w:color w:val="auto"/>
                <w:sz w:val="18"/>
              </w:rPr>
              <w:t>包A</w:t>
            </w:r>
          </w:p>
        </w:tc>
        <w:tc>
          <w:tcPr>
            <w:tcW w:w="3628" w:type="dxa"/>
          </w:tcPr>
          <w:p w14:paraId="58B816BF">
            <w:pPr>
              <w:jc w:val="center"/>
              <w:rPr>
                <w:color w:val="auto"/>
              </w:rPr>
            </w:pPr>
            <w:r>
              <w:rPr>
                <w:rFonts w:ascii="Calibri" w:hAnsi="Calibri" w:eastAsia="宋体"/>
                <w:b w:val="0"/>
                <w:color w:val="auto"/>
                <w:sz w:val="18"/>
              </w:rPr>
              <w:t>G0 接口定型、G1 陆上联调（EMT/HIL、柔性负荷响应、通信中断测试）与第三方认证</w:t>
            </w:r>
          </w:p>
        </w:tc>
        <w:tc>
          <w:tcPr>
            <w:tcW w:w="1247" w:type="dxa"/>
          </w:tcPr>
          <w:p w14:paraId="6CD4FF10">
            <w:pPr>
              <w:jc w:val="center"/>
              <w:rPr>
                <w:color w:val="auto"/>
              </w:rPr>
            </w:pPr>
            <w:r>
              <w:rPr>
                <w:rFonts w:ascii="Calibri" w:hAnsi="Calibri" w:eastAsia="宋体"/>
                <w:b w:val="0"/>
                <w:color w:val="auto"/>
                <w:sz w:val="18"/>
              </w:rPr>
              <w:t>≤0.8</w:t>
            </w:r>
          </w:p>
        </w:tc>
        <w:tc>
          <w:tcPr>
            <w:tcW w:w="2721" w:type="dxa"/>
          </w:tcPr>
          <w:p w14:paraId="2D8E28B3">
            <w:pPr>
              <w:jc w:val="center"/>
              <w:rPr>
                <w:color w:val="auto"/>
              </w:rPr>
            </w:pPr>
            <w:r>
              <w:rPr>
                <w:rFonts w:ascii="Calibri" w:hAnsi="Calibri" w:eastAsia="宋体"/>
                <w:b w:val="0"/>
                <w:color w:val="auto"/>
                <w:sz w:val="18"/>
              </w:rPr>
              <w:t>前期开发与联调认证费用占比参考（约 CAPEX 5%–6%）；公开资料代理</w:t>
            </w:r>
          </w:p>
        </w:tc>
      </w:tr>
      <w:tr w14:paraId="4ED67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tcPr>
          <w:p w14:paraId="5695DC5D">
            <w:pPr>
              <w:jc w:val="center"/>
              <w:rPr>
                <w:color w:val="auto"/>
              </w:rPr>
            </w:pPr>
            <w:r>
              <w:rPr>
                <w:rFonts w:ascii="Calibri" w:hAnsi="Calibri" w:eastAsia="宋体"/>
                <w:b w:val="0"/>
                <w:color w:val="auto"/>
                <w:sz w:val="18"/>
              </w:rPr>
              <w:t>包B</w:t>
            </w:r>
          </w:p>
        </w:tc>
        <w:tc>
          <w:tcPr>
            <w:tcW w:w="3628" w:type="dxa"/>
          </w:tcPr>
          <w:p w14:paraId="3DA8DA6B">
            <w:pPr>
              <w:jc w:val="center"/>
              <w:rPr>
                <w:color w:val="auto"/>
              </w:rPr>
            </w:pPr>
            <w:r>
              <w:rPr>
                <w:rFonts w:ascii="Calibri" w:hAnsi="Calibri" w:eastAsia="宋体"/>
                <w:b w:val="0"/>
                <w:color w:val="auto"/>
                <w:sz w:val="18"/>
              </w:rPr>
              <w:t>存量复用海上示范的增量资产（BESS、计量、通信、接口改造）及海上安装调试与风险备用</w:t>
            </w:r>
          </w:p>
        </w:tc>
        <w:tc>
          <w:tcPr>
            <w:tcW w:w="1247" w:type="dxa"/>
          </w:tcPr>
          <w:p w14:paraId="38614DD4">
            <w:pPr>
              <w:jc w:val="center"/>
              <w:rPr>
                <w:color w:val="auto"/>
              </w:rPr>
            </w:pPr>
            <w:r>
              <w:rPr>
                <w:rFonts w:ascii="Calibri" w:hAnsi="Calibri" w:eastAsia="宋体"/>
                <w:b w:val="0"/>
                <w:color w:val="auto"/>
                <w:sz w:val="18"/>
              </w:rPr>
              <w:t>≤5.0</w:t>
            </w:r>
          </w:p>
        </w:tc>
        <w:tc>
          <w:tcPr>
            <w:tcW w:w="2721" w:type="dxa"/>
          </w:tcPr>
          <w:p w14:paraId="6B2DFB7A">
            <w:pPr>
              <w:jc w:val="center"/>
              <w:rPr>
                <w:color w:val="auto"/>
              </w:rPr>
            </w:pPr>
            <w:r>
              <w:rPr>
                <w:rFonts w:ascii="Calibri" w:hAnsi="Calibri" w:eastAsia="宋体"/>
                <w:b w:val="0"/>
                <w:color w:val="auto"/>
                <w:sz w:val="18"/>
              </w:rPr>
              <w:t>BESS 成本基准[9]；海底电缆与接口改造（欧盟 JRC、工程估算）；海上安装调试参考浮动式海风工程成本[10]；含风险备用</w:t>
            </w:r>
          </w:p>
        </w:tc>
      </w:tr>
      <w:tr w14:paraId="65DCF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tcPr>
          <w:p w14:paraId="360DD491">
            <w:pPr>
              <w:jc w:val="center"/>
              <w:rPr>
                <w:color w:val="auto"/>
              </w:rPr>
            </w:pPr>
            <w:r>
              <w:rPr>
                <w:rFonts w:ascii="Calibri" w:hAnsi="Calibri" w:eastAsia="宋体"/>
                <w:b w:val="0"/>
                <w:color w:val="auto"/>
                <w:sz w:val="18"/>
              </w:rPr>
              <w:t>合计</w:t>
            </w:r>
          </w:p>
        </w:tc>
        <w:tc>
          <w:tcPr>
            <w:tcW w:w="3628" w:type="dxa"/>
          </w:tcPr>
          <w:p w14:paraId="1E470779">
            <w:pPr>
              <w:jc w:val="center"/>
              <w:rPr>
                <w:color w:val="auto"/>
              </w:rPr>
            </w:pPr>
            <w:r>
              <w:rPr>
                <w:rFonts w:ascii="Calibri" w:hAnsi="Calibri" w:eastAsia="宋体"/>
                <w:b w:val="0"/>
                <w:color w:val="auto"/>
                <w:sz w:val="18"/>
              </w:rPr>
              <w:t>—</w:t>
            </w:r>
          </w:p>
        </w:tc>
        <w:tc>
          <w:tcPr>
            <w:tcW w:w="1247" w:type="dxa"/>
          </w:tcPr>
          <w:p w14:paraId="085DC7E5">
            <w:pPr>
              <w:jc w:val="center"/>
              <w:rPr>
                <w:color w:val="auto"/>
              </w:rPr>
            </w:pPr>
            <w:r>
              <w:rPr>
                <w:rFonts w:ascii="Calibri" w:hAnsi="Calibri" w:eastAsia="宋体"/>
                <w:b w:val="0"/>
                <w:color w:val="auto"/>
                <w:sz w:val="18"/>
              </w:rPr>
              <w:t>≤6.0</w:t>
            </w:r>
          </w:p>
        </w:tc>
        <w:tc>
          <w:tcPr>
            <w:tcW w:w="2721" w:type="dxa"/>
          </w:tcPr>
          <w:p w14:paraId="6A577E4B">
            <w:pPr>
              <w:jc w:val="center"/>
              <w:rPr>
                <w:color w:val="auto"/>
              </w:rPr>
            </w:pPr>
            <w:r>
              <w:rPr>
                <w:rFonts w:ascii="Calibri" w:hAnsi="Calibri" w:eastAsia="宋体"/>
                <w:b w:val="0"/>
                <w:color w:val="auto"/>
                <w:sz w:val="18"/>
              </w:rPr>
              <w:t>公开资料代理</w:t>
            </w:r>
          </w:p>
        </w:tc>
      </w:tr>
    </w:tbl>
    <w:p w14:paraId="2965D764">
      <w:pPr>
        <w:spacing w:before="0" w:after="120" w:line="264" w:lineRule="auto"/>
        <w:rPr>
          <w:color w:val="auto"/>
        </w:rPr>
      </w:pPr>
      <w:r>
        <w:rPr>
          <w:rFonts w:ascii="Calibri" w:hAnsi="Calibri" w:eastAsia="宋体"/>
          <w:b w:val="0"/>
          <w:color w:val="auto"/>
          <w:sz w:val="18"/>
        </w:rPr>
        <w:t>注：包B 预算含风险备用；两包合计不超过 6.0 亿元。预算为概念级、公开资料代理，整体成本基准参考 [9][10][11]，制氢等可选模块成本基准[12] 仅在专项触发后计入。</w:t>
      </w:r>
    </w:p>
    <w:p w14:paraId="5CA48DCB">
      <w:pPr>
        <w:pStyle w:val="3"/>
        <w:rPr>
          <w:rFonts w:hint="default" w:eastAsia="宋体"/>
          <w:color w:val="auto"/>
          <w:lang w:val="en-US" w:eastAsia="zh-CN"/>
        </w:rPr>
      </w:pPr>
      <w:r>
        <w:rPr>
          <w:color w:val="auto"/>
        </w:rPr>
        <w:t>6.2 资金分配机制</w:t>
      </w:r>
      <w:r>
        <w:rPr>
          <w:rFonts w:hint="eastAsia" w:eastAsia="宋体"/>
          <w:color w:val="auto"/>
          <w:lang w:val="en-US" w:eastAsia="zh-CN"/>
        </w:rPr>
        <w:t>与收益增长路径</w:t>
      </w:r>
    </w:p>
    <w:p w14:paraId="40480EE6">
      <w:pPr>
        <w:rPr>
          <w:color w:val="auto"/>
        </w:rPr>
      </w:pPr>
      <w:r>
        <w:rPr>
          <w:color w:val="auto"/>
        </w:rPr>
        <w:t>本节说明收益机制如何支撑产业存续：营业收入按“先保存续、再偿债、后分红”分配；收入沿利用率提升、产品扩容、合同深化三条路径增长，按“基础—灵活—增值”三层管理确定性；以“少投、多收、稳收、控险”实现收益最大化。</w:t>
      </w:r>
    </w:p>
    <w:p w14:paraId="4EED1AA3">
      <w:pPr>
        <w:pStyle w:val="4"/>
        <w:rPr>
          <w:color w:val="auto"/>
        </w:rPr>
      </w:pPr>
      <w:r>
        <w:rPr>
          <w:color w:val="auto"/>
        </w:rPr>
        <w:t>6.2.1 资金流分配与偿债安排</w:t>
      </w:r>
    </w:p>
    <w:p w14:paraId="2458D7F5">
      <w:pPr>
        <w:rPr>
          <w:color w:val="auto"/>
        </w:rPr>
      </w:pPr>
      <w:r>
        <w:rPr>
          <w:color w:val="auto"/>
        </w:rPr>
        <w:t>具体分配顺序：先支付税费及法定支出，再支付必要运维、安全支出与设备更新准备，其后偿付债务本息，最后在满足偿债覆盖与安全储备的前提下按股东协议安排分红。</w:t>
      </w:r>
    </w:p>
    <w:p w14:paraId="711B8D41">
      <w:pPr>
        <w:rPr>
          <w:color w:val="auto"/>
        </w:rPr>
      </w:pPr>
      <w:r>
        <w:rPr>
          <w:color w:val="auto"/>
        </w:rPr>
        <w:t>保存续覆盖当期运营、安全与设备更新固定支出，保障连续运行；偿债以 DSCR≥1.2 为底线（见表 6-3）；分红为最后顺位，仅在有可分配现金流、不危及下一期安全运维与偿债覆盖时进行，未合同化收入不计入分红测算，触发风险停止条件或动用极端海况储备时暂停分红，保证示范期现金流与台账可审计，支撑 G2 验收与规模推广闸门评审。</w:t>
      </w:r>
    </w:p>
    <w:p w14:paraId="704DAC48">
      <w:pPr>
        <w:pStyle w:val="4"/>
        <w:rPr>
          <w:color w:val="auto"/>
        </w:rPr>
      </w:pPr>
      <w:r>
        <w:rPr>
          <w:color w:val="auto"/>
        </w:rPr>
        <w:t>6.2.2 收入增长路径</w:t>
      </w:r>
    </w:p>
    <w:p w14:paraId="352011D5">
      <w:pPr>
        <w:rPr>
          <w:color w:val="auto"/>
        </w:rPr>
      </w:pPr>
      <w:r>
        <w:rPr>
          <w:color w:val="auto"/>
        </w:rPr>
        <w:t>收入增长沿利用率提升、产品扩容、合同深化三条路径展开，并按“基础—灵活—增值”三层管理收入确定性（图 6-4）。</w:t>
      </w:r>
    </w:p>
    <w:p w14:paraId="78EE0BD1">
      <w:pPr>
        <w:jc w:val="center"/>
        <w:rPr>
          <w:rFonts w:hint="eastAsia" w:eastAsia="宋体"/>
          <w:color w:val="auto"/>
          <w:lang w:eastAsia="zh-CN"/>
        </w:rPr>
      </w:pPr>
      <w:r>
        <w:rPr>
          <w:rFonts w:hint="eastAsia" w:eastAsia="宋体"/>
          <w:color w:val="auto"/>
          <w:lang w:eastAsia="zh-CN"/>
        </w:rPr>
        <w:drawing>
          <wp:inline distT="0" distB="0" distL="114300" distR="114300">
            <wp:extent cx="5062855" cy="2849245"/>
            <wp:effectExtent l="0" t="0" r="4445" b="8255"/>
            <wp:docPr id="1" name="图片 1" descr="ChatGPT Image 2026年8月7日 13_19_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hatGPT Image 2026年8月7日 13_19_55"/>
                    <pic:cNvPicPr>
                      <a:picLocks noChangeAspect="1"/>
                    </pic:cNvPicPr>
                  </pic:nvPicPr>
                  <pic:blipFill>
                    <a:blip r:embed="rId9"/>
                    <a:stretch>
                      <a:fillRect/>
                    </a:stretch>
                  </pic:blipFill>
                  <pic:spPr>
                    <a:xfrm>
                      <a:off x="0" y="0"/>
                      <a:ext cx="5062855" cy="2849245"/>
                    </a:xfrm>
                    <a:prstGeom prst="rect">
                      <a:avLst/>
                    </a:prstGeom>
                  </pic:spPr>
                </pic:pic>
              </a:graphicData>
            </a:graphic>
          </wp:inline>
        </w:drawing>
      </w:r>
    </w:p>
    <w:p w14:paraId="046B62CB">
      <w:pPr>
        <w:spacing w:before="80" w:after="80" w:line="264" w:lineRule="auto"/>
        <w:jc w:val="center"/>
        <w:rPr>
          <w:color w:val="auto"/>
        </w:rPr>
      </w:pPr>
      <w:r>
        <w:rPr>
          <w:rFonts w:ascii="Calibri" w:hAnsi="Calibri" w:eastAsia="宋体"/>
          <w:b/>
          <w:color w:val="auto"/>
          <w:sz w:val="20"/>
        </w:rPr>
        <w:t>图6-4</w:t>
      </w:r>
      <w:r>
        <w:rPr>
          <w:rFonts w:hint="eastAsia" w:ascii="Calibri" w:hAnsi="Calibri" w:eastAsia="宋体"/>
          <w:b/>
          <w:color w:val="auto"/>
          <w:sz w:val="20"/>
          <w:lang w:val="en-US" w:eastAsia="zh-CN"/>
        </w:rPr>
        <w:t xml:space="preserve"> </w:t>
      </w:r>
      <w:r>
        <w:rPr>
          <w:rFonts w:ascii="Calibri" w:hAnsi="Calibri" w:eastAsia="宋体"/>
          <w:b/>
          <w:color w:val="auto"/>
          <w:sz w:val="20"/>
        </w:rPr>
        <w:t>收入增长三路径与收益分层</w:t>
      </w:r>
    </w:p>
    <w:p w14:paraId="7BEE5788">
      <w:pPr>
        <w:rPr>
          <w:color w:val="auto"/>
        </w:rPr>
      </w:pPr>
      <w:r>
        <w:rPr>
          <w:color w:val="auto"/>
        </w:rPr>
        <w:t>基础合同收入以多年期 PPA、容量预订与最低用量锁定现金流下限，灵活市场与选择性增值收入撑起收益上限；未合同化收入不进入基准情景，同一电量的绿证、CCER 与绿色产品溢价不得重复确认，储能等内部能量转换不得重复计价。</w:t>
      </w:r>
    </w:p>
    <w:p w14:paraId="4944B71E">
      <w:pPr>
        <w:pStyle w:val="4"/>
        <w:rPr>
          <w:color w:val="auto"/>
        </w:rPr>
      </w:pPr>
      <w:r>
        <w:rPr>
          <w:color w:val="auto"/>
        </w:rPr>
        <w:t>6.2.3 收益最大化配置原则</w:t>
      </w:r>
    </w:p>
    <w:p w14:paraId="2D86BB8A">
      <w:pPr>
        <w:rPr>
          <w:color w:val="auto"/>
        </w:rPr>
      </w:pPr>
      <w:r>
        <w:rPr>
          <w:color w:val="auto"/>
        </w:rPr>
        <w:t>收益最大化配置原则：投资贴着最小增量边界（少投）、产品按边际收益排序（多收）、合同覆盖率作为立项门槛（稳收，数值见表 6-3）、验证与扩产按闸门推进（控险），共同决定“先投什么、后投什么、不投什么”。</w:t>
      </w:r>
    </w:p>
    <w:p w14:paraId="0BA83780">
      <w:pPr>
        <w:spacing w:before="0" w:after="120" w:line="264" w:lineRule="auto"/>
        <w:jc w:val="center"/>
        <w:rPr>
          <w:color w:val="auto"/>
        </w:rPr>
      </w:pPr>
      <w:r>
        <w:rPr>
          <w:rFonts w:ascii="Calibri" w:hAnsi="Calibri" w:eastAsia="宋体"/>
          <w:b w:val="0"/>
          <w:color w:val="auto"/>
          <w:sz w:val="19"/>
        </w:rPr>
        <w:t>关键门槛数值（公开资料代理，具体以实际建设为准）：</w:t>
      </w:r>
    </w:p>
    <w:p w14:paraId="5697BAB2">
      <w:pPr>
        <w:spacing w:before="80" w:after="80" w:line="264" w:lineRule="auto"/>
        <w:jc w:val="center"/>
        <w:rPr>
          <w:color w:val="auto"/>
        </w:rPr>
      </w:pPr>
      <w:r>
        <w:rPr>
          <w:rFonts w:ascii="Calibri" w:hAnsi="Calibri" w:eastAsia="宋体"/>
          <w:b/>
          <w:color w:val="auto"/>
          <w:sz w:val="20"/>
        </w:rPr>
        <w:t>表6-3　关键门槛数值</w:t>
      </w:r>
    </w:p>
    <w:tbl>
      <w:tblPr>
        <w:tblStyle w:val="32"/>
        <w:tblW w:w="8640" w:type="dxa"/>
        <w:tblInd w:w="12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80" w:type="dxa"/>
          <w:left w:w="120" w:type="dxa"/>
          <w:bottom w:w="80" w:type="dxa"/>
          <w:right w:w="120" w:type="dxa"/>
        </w:tblCellMar>
      </w:tblPr>
      <w:tblGrid>
        <w:gridCol w:w="2300"/>
        <w:gridCol w:w="2300"/>
        <w:gridCol w:w="4040"/>
      </w:tblGrid>
      <w:tr w14:paraId="04B607F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120" w:type="dxa"/>
            <w:bottom w:w="80" w:type="dxa"/>
            <w:right w:w="120" w:type="dxa"/>
          </w:tblCellMar>
        </w:tblPrEx>
        <w:tc>
          <w:tcPr>
            <w:tcW w:w="2300" w:type="dxa"/>
            <w:shd w:val="clear" w:color="auto" w:fill="F2F4F7"/>
            <w:vAlign w:val="center"/>
          </w:tcPr>
          <w:p w14:paraId="06132713">
            <w:pPr>
              <w:spacing w:before="40" w:after="40" w:line="240" w:lineRule="auto"/>
              <w:jc w:val="center"/>
              <w:rPr>
                <w:color w:val="auto"/>
              </w:rPr>
            </w:pPr>
            <w:r>
              <w:rPr>
                <w:rFonts w:ascii="Calibri" w:hAnsi="Calibri" w:eastAsia="宋体"/>
                <w:b/>
                <w:color w:val="auto"/>
                <w:sz w:val="18"/>
              </w:rPr>
              <w:t>门槛项</w:t>
            </w:r>
          </w:p>
        </w:tc>
        <w:tc>
          <w:tcPr>
            <w:tcW w:w="2300" w:type="dxa"/>
            <w:shd w:val="clear" w:color="auto" w:fill="F2F4F7"/>
            <w:vAlign w:val="center"/>
          </w:tcPr>
          <w:p w14:paraId="536386EA">
            <w:pPr>
              <w:spacing w:before="40" w:after="40" w:line="240" w:lineRule="auto"/>
              <w:jc w:val="center"/>
              <w:rPr>
                <w:color w:val="auto"/>
              </w:rPr>
            </w:pPr>
            <w:r>
              <w:rPr>
                <w:rFonts w:ascii="Calibri" w:hAnsi="Calibri" w:eastAsia="宋体"/>
                <w:b/>
                <w:color w:val="auto"/>
                <w:sz w:val="18"/>
              </w:rPr>
              <w:t>建议值</w:t>
            </w:r>
          </w:p>
        </w:tc>
        <w:tc>
          <w:tcPr>
            <w:tcW w:w="4040" w:type="dxa"/>
            <w:shd w:val="clear" w:color="auto" w:fill="F2F4F7"/>
            <w:vAlign w:val="center"/>
          </w:tcPr>
          <w:p w14:paraId="4DE563C1">
            <w:pPr>
              <w:spacing w:before="40" w:after="40" w:line="240" w:lineRule="auto"/>
              <w:jc w:val="center"/>
              <w:rPr>
                <w:color w:val="auto"/>
              </w:rPr>
            </w:pPr>
            <w:r>
              <w:rPr>
                <w:rFonts w:ascii="Calibri" w:hAnsi="Calibri" w:eastAsia="宋体"/>
                <w:b/>
                <w:color w:val="auto"/>
                <w:sz w:val="18"/>
              </w:rPr>
              <w:t>说明与来源</w:t>
            </w:r>
          </w:p>
        </w:tc>
      </w:tr>
      <w:tr w14:paraId="433ADA6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120" w:type="dxa"/>
            <w:bottom w:w="80" w:type="dxa"/>
            <w:right w:w="120" w:type="dxa"/>
          </w:tblCellMar>
        </w:tblPrEx>
        <w:tc>
          <w:tcPr>
            <w:tcW w:w="2300" w:type="dxa"/>
            <w:vAlign w:val="center"/>
          </w:tcPr>
          <w:p w14:paraId="0A2AB26D">
            <w:pPr>
              <w:spacing w:before="40" w:after="40" w:line="240" w:lineRule="auto"/>
              <w:jc w:val="left"/>
              <w:rPr>
                <w:color w:val="auto"/>
              </w:rPr>
            </w:pPr>
            <w:r>
              <w:rPr>
                <w:rFonts w:ascii="Calibri" w:hAnsi="Calibri" w:eastAsia="宋体"/>
                <w:b w:val="0"/>
                <w:color w:val="auto"/>
                <w:sz w:val="18"/>
              </w:rPr>
              <w:t>偿债覆盖倍数（DSCR）</w:t>
            </w:r>
          </w:p>
        </w:tc>
        <w:tc>
          <w:tcPr>
            <w:tcW w:w="2300" w:type="dxa"/>
            <w:vAlign w:val="center"/>
          </w:tcPr>
          <w:p w14:paraId="323B853F">
            <w:pPr>
              <w:spacing w:before="40" w:after="40" w:line="240" w:lineRule="auto"/>
              <w:jc w:val="left"/>
              <w:rPr>
                <w:color w:val="auto"/>
              </w:rPr>
            </w:pPr>
            <w:r>
              <w:rPr>
                <w:rFonts w:ascii="Calibri" w:hAnsi="Calibri" w:eastAsia="宋体"/>
                <w:b w:val="0"/>
                <w:color w:val="auto"/>
                <w:sz w:val="18"/>
              </w:rPr>
              <w:t>≥1.2</w:t>
            </w:r>
          </w:p>
        </w:tc>
        <w:tc>
          <w:tcPr>
            <w:tcW w:w="4040" w:type="dxa"/>
            <w:vAlign w:val="center"/>
          </w:tcPr>
          <w:p w14:paraId="4B504745">
            <w:pPr>
              <w:spacing w:before="40" w:after="40" w:line="240" w:lineRule="auto"/>
              <w:jc w:val="center"/>
              <w:rPr>
                <w:color w:val="auto"/>
              </w:rPr>
            </w:pPr>
            <w:r>
              <w:rPr>
                <w:rFonts w:ascii="Calibri" w:hAnsi="Calibri" w:eastAsia="宋体"/>
                <w:color w:val="auto"/>
                <w:sz w:val="18"/>
              </w:rPr>
              <w:t>项目融资实务惯例：最低期望 DSCR 约 1.2，严格时可达 1.5[13]</w:t>
            </w:r>
          </w:p>
        </w:tc>
      </w:tr>
      <w:tr w14:paraId="1B4DCC3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120" w:type="dxa"/>
            <w:bottom w:w="80" w:type="dxa"/>
            <w:right w:w="120" w:type="dxa"/>
          </w:tblCellMar>
        </w:tblPrEx>
        <w:tc>
          <w:tcPr>
            <w:tcW w:w="2300" w:type="dxa"/>
            <w:vAlign w:val="center"/>
          </w:tcPr>
          <w:p w14:paraId="40C0E1AF">
            <w:pPr>
              <w:spacing w:before="40" w:after="40" w:line="240" w:lineRule="auto"/>
              <w:jc w:val="left"/>
              <w:rPr>
                <w:color w:val="auto"/>
              </w:rPr>
            </w:pPr>
            <w:r>
              <w:rPr>
                <w:rFonts w:ascii="Calibri" w:hAnsi="Calibri" w:eastAsia="宋体"/>
                <w:b w:val="0"/>
                <w:color w:val="auto"/>
                <w:sz w:val="18"/>
              </w:rPr>
              <w:t>合同收入覆盖率</w:t>
            </w:r>
          </w:p>
        </w:tc>
        <w:tc>
          <w:tcPr>
            <w:tcW w:w="2300" w:type="dxa"/>
            <w:vAlign w:val="center"/>
          </w:tcPr>
          <w:p w14:paraId="477BB128">
            <w:pPr>
              <w:spacing w:before="40" w:after="40" w:line="240" w:lineRule="auto"/>
              <w:jc w:val="left"/>
              <w:rPr>
                <w:color w:val="auto"/>
              </w:rPr>
            </w:pPr>
            <w:r>
              <w:rPr>
                <w:rFonts w:ascii="Calibri" w:hAnsi="Calibri" w:eastAsia="宋体"/>
                <w:b w:val="0"/>
                <w:color w:val="auto"/>
                <w:sz w:val="18"/>
              </w:rPr>
              <w:t>≥70%</w:t>
            </w:r>
          </w:p>
        </w:tc>
        <w:tc>
          <w:tcPr>
            <w:tcW w:w="4040" w:type="dxa"/>
            <w:vAlign w:val="center"/>
          </w:tcPr>
          <w:p w14:paraId="5716D4BD">
            <w:pPr>
              <w:spacing w:before="40" w:after="40" w:line="240" w:lineRule="auto"/>
              <w:jc w:val="center"/>
              <w:rPr>
                <w:color w:val="auto"/>
              </w:rPr>
            </w:pPr>
            <w:r>
              <w:rPr>
                <w:rFonts w:ascii="Calibri" w:hAnsi="Calibri" w:eastAsia="宋体"/>
                <w:color w:val="auto"/>
                <w:sz w:val="18"/>
              </w:rPr>
              <w:t>项目内部设定，用于支撑 DSCR≥1.2 的偿债覆盖（结合合同化收入结构）</w:t>
            </w:r>
          </w:p>
        </w:tc>
      </w:tr>
      <w:tr w14:paraId="6E775B6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120" w:type="dxa"/>
            <w:bottom w:w="80" w:type="dxa"/>
            <w:right w:w="120" w:type="dxa"/>
          </w:tblCellMar>
        </w:tblPrEx>
        <w:tc>
          <w:tcPr>
            <w:tcW w:w="2300" w:type="dxa"/>
            <w:vAlign w:val="center"/>
          </w:tcPr>
          <w:p w14:paraId="14264BB6">
            <w:pPr>
              <w:spacing w:before="40" w:after="40" w:line="240" w:lineRule="auto"/>
              <w:jc w:val="left"/>
              <w:rPr>
                <w:color w:val="auto"/>
              </w:rPr>
            </w:pPr>
            <w:r>
              <w:rPr>
                <w:rFonts w:ascii="Calibri" w:hAnsi="Calibri" w:eastAsia="宋体"/>
                <w:b w:val="0"/>
                <w:color w:val="auto"/>
                <w:sz w:val="18"/>
              </w:rPr>
              <w:t>年度新能源利用率</w:t>
            </w:r>
          </w:p>
        </w:tc>
        <w:tc>
          <w:tcPr>
            <w:tcW w:w="2300" w:type="dxa"/>
            <w:vAlign w:val="center"/>
          </w:tcPr>
          <w:p w14:paraId="2118C176">
            <w:pPr>
              <w:spacing w:before="40" w:after="40" w:line="240" w:lineRule="auto"/>
              <w:jc w:val="left"/>
              <w:rPr>
                <w:color w:val="auto"/>
              </w:rPr>
            </w:pPr>
            <w:r>
              <w:rPr>
                <w:rFonts w:ascii="Calibri" w:hAnsi="Calibri" w:eastAsia="宋体"/>
                <w:b w:val="0"/>
                <w:color w:val="auto"/>
                <w:sz w:val="18"/>
              </w:rPr>
              <w:t>≥70%（基准 74.90%）</w:t>
            </w:r>
          </w:p>
        </w:tc>
        <w:tc>
          <w:tcPr>
            <w:tcW w:w="4040" w:type="dxa"/>
            <w:vAlign w:val="center"/>
          </w:tcPr>
          <w:p w14:paraId="4A870D9A">
            <w:pPr>
              <w:rPr>
                <w:color w:val="auto"/>
              </w:rPr>
            </w:pPr>
            <w:r>
              <w:rPr>
                <w:rFonts w:ascii="Calibri" w:hAnsi="Calibri" w:eastAsia="宋体"/>
                <w:color w:val="auto"/>
                <w:sz w:val="18"/>
              </w:rPr>
              <w:t>第五章年度复算基准（模型输出）；并网消纳“95% 红线”为政策口径[14]，两者不混用</w:t>
            </w:r>
          </w:p>
        </w:tc>
      </w:tr>
    </w:tbl>
    <w:p w14:paraId="1FFFFB28">
      <w:pPr>
        <w:spacing w:before="0" w:after="120" w:line="264" w:lineRule="auto"/>
        <w:rPr>
          <w:color w:val="auto"/>
        </w:rPr>
      </w:pPr>
      <w:r>
        <w:rPr>
          <w:rFonts w:ascii="Calibri" w:hAnsi="Calibri" w:eastAsia="宋体"/>
          <w:b w:val="0"/>
          <w:color w:val="auto"/>
          <w:sz w:val="18"/>
        </w:rPr>
        <w:t>注：利用率门槛为模型口径，与并网消纳“95% 红线”[14]口径不同，正文不混用。</w:t>
      </w:r>
    </w:p>
    <w:p w14:paraId="43BF510D">
      <w:pPr>
        <w:rPr>
          <w:color w:val="auto"/>
        </w:rPr>
      </w:pPr>
      <w:r>
        <w:rPr>
          <w:color w:val="auto"/>
        </w:rPr>
        <w:t>收益率达标判断放在规模推广闸门而非示范期：示范期以证据与合同为目标，避免以成熟项目收益率过早否决示范价值；规模推广闸门在形成可用率、运维工单、正式报价、客户履约、保险和现金流边界六项证据后，再开展 NPV、IRR、偿债覆盖与敏感性评价。</w:t>
      </w:r>
    </w:p>
    <w:p w14:paraId="6745707E">
      <w:pPr>
        <w:pStyle w:val="3"/>
        <w:rPr>
          <w:color w:val="auto"/>
        </w:rPr>
      </w:pPr>
      <w:r>
        <w:rPr>
          <w:color w:val="auto"/>
        </w:rPr>
        <w:t>6.3 产业生态构建与近中远期培育路径</w:t>
      </w:r>
    </w:p>
    <w:p w14:paraId="4CF166AB">
      <w:pPr>
        <w:rPr>
          <w:color w:val="auto"/>
        </w:rPr>
      </w:pPr>
      <w:r>
        <w:rPr>
          <w:color w:val="auto"/>
        </w:rPr>
        <w:t>本节转入产业培育放大主线：示范订单与共享设施沿“上游带动—中游共享—下游应用—横向输出”传导产业链，把收益从项目现金流扩展到产业生态；结合 SWOT 分析与产业政策环境，形成“示范验证—规模推广—系统输出”的分阶段培育路径。</w:t>
      </w:r>
    </w:p>
    <w:p w14:paraId="525D8446">
      <w:pPr>
        <w:pStyle w:val="4"/>
        <w:rPr>
          <w:color w:val="auto"/>
        </w:rPr>
      </w:pPr>
      <w:r>
        <w:rPr>
          <w:color w:val="auto"/>
        </w:rPr>
        <w:t>6.3.1 产业培育环境与战略选择</w:t>
      </w:r>
    </w:p>
    <w:p w14:paraId="2801C8F2">
      <w:pPr>
        <w:rPr>
          <w:color w:val="auto"/>
        </w:rPr>
      </w:pPr>
      <w:r>
        <w:rPr>
          <w:color w:val="auto"/>
        </w:rPr>
        <w:t>本节以 SWOT 判断产业培育环境与战略选择（图 6-5）：优势与劣势来自项目与集团内部条件，机会与威胁来自我国政策环境与产业现状。</w:t>
      </w:r>
    </w:p>
    <w:p w14:paraId="0354AEBA">
      <w:pPr>
        <w:jc w:val="center"/>
        <w:rPr>
          <w:rFonts w:hint="eastAsia" w:eastAsia="宋体"/>
          <w:color w:val="auto"/>
          <w:lang w:eastAsia="zh-CN"/>
        </w:rPr>
      </w:pPr>
      <w:r>
        <w:rPr>
          <w:rFonts w:hint="eastAsia" w:eastAsia="宋体"/>
          <w:color w:val="auto"/>
          <w:lang w:eastAsia="zh-CN"/>
        </w:rPr>
        <w:drawing>
          <wp:inline distT="0" distB="0" distL="114300" distR="114300">
            <wp:extent cx="4218940" cy="2715260"/>
            <wp:effectExtent l="0" t="0" r="10160" b="2540"/>
            <wp:docPr id="2" name="图片 2" descr="ChatGPT Image 2026年8月7日 13_38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hatGPT Image 2026年8月7日 13_38_14"/>
                    <pic:cNvPicPr>
                      <a:picLocks noChangeAspect="1"/>
                    </pic:cNvPicPr>
                  </pic:nvPicPr>
                  <pic:blipFill>
                    <a:blip r:embed="rId10"/>
                    <a:stretch>
                      <a:fillRect/>
                    </a:stretch>
                  </pic:blipFill>
                  <pic:spPr>
                    <a:xfrm>
                      <a:off x="0" y="0"/>
                      <a:ext cx="4218940" cy="2715260"/>
                    </a:xfrm>
                    <a:prstGeom prst="rect">
                      <a:avLst/>
                    </a:prstGeom>
                  </pic:spPr>
                </pic:pic>
              </a:graphicData>
            </a:graphic>
          </wp:inline>
        </w:drawing>
      </w:r>
    </w:p>
    <w:p w14:paraId="67BA1C3D">
      <w:pPr>
        <w:spacing w:before="80" w:after="80" w:line="264" w:lineRule="auto"/>
        <w:jc w:val="center"/>
        <w:rPr>
          <w:rFonts w:ascii="Calibri" w:hAnsi="Calibri" w:eastAsia="宋体"/>
          <w:b/>
          <w:color w:val="auto"/>
          <w:sz w:val="20"/>
        </w:rPr>
      </w:pPr>
      <w:r>
        <w:rPr>
          <w:rFonts w:ascii="Calibri" w:hAnsi="Calibri" w:eastAsia="宋体"/>
          <w:b/>
          <w:color w:val="auto"/>
          <w:sz w:val="20"/>
        </w:rPr>
        <w:t>图6-5</w:t>
      </w:r>
      <w:r>
        <w:rPr>
          <w:rFonts w:hint="eastAsia" w:ascii="Calibri" w:hAnsi="Calibri" w:eastAsia="宋体"/>
          <w:b/>
          <w:color w:val="auto"/>
          <w:sz w:val="20"/>
          <w:lang w:val="en-US" w:eastAsia="zh-CN"/>
        </w:rPr>
        <w:t xml:space="preserve"> </w:t>
      </w:r>
      <w:r>
        <w:rPr>
          <w:rFonts w:ascii="Calibri" w:hAnsi="Calibri" w:eastAsia="宋体"/>
          <w:b/>
          <w:color w:val="auto"/>
          <w:sz w:val="20"/>
        </w:rPr>
        <w:t>产业培育环境分析</w:t>
      </w:r>
    </w:p>
    <w:p w14:paraId="6144EF6F">
      <w:pPr>
        <w:rPr>
          <w:color w:val="auto"/>
        </w:rPr>
      </w:pPr>
      <w:r>
        <w:rPr>
          <w:color w:val="auto"/>
        </w:rPr>
        <w:t>战略映射：SO（优势×机会）→示范先行、锁定绿电算力；WO（劣势×机会）→以公共底座与合同化收入降低重资产劣势；ST（优势×威胁）→以分级验证与认证抵御技术迭代与首台套风险；WT（劣势×威胁）→以场址比选与产品差异化避免同质化竞争。</w:t>
      </w:r>
    </w:p>
    <w:p w14:paraId="5B4F8FC0">
      <w:pPr>
        <w:pStyle w:val="4"/>
        <w:rPr>
          <w:color w:val="auto"/>
        </w:rPr>
      </w:pPr>
      <w:r>
        <w:rPr>
          <w:color w:val="auto"/>
        </w:rPr>
        <w:t>6.3.2 上游装备制造与中游海洋工程服务</w:t>
      </w:r>
    </w:p>
    <w:p w14:paraId="208E6090">
      <w:pPr>
        <w:rPr>
          <w:color w:val="auto"/>
        </w:rPr>
      </w:pPr>
      <w:r>
        <w:rPr>
          <w:color w:val="auto"/>
        </w:rPr>
        <w:t>上游沿“示范订单—联合验证—认证定型—批量复用”传导：示范期投资包形成确定性订单，装备企业据此开展联合研发与首台套制造，不必自行承担市场风险；经型式试验、船级社认证与海试形成可采购技术基线后，规模推广期即可批量复用，实现“先验证、后建产能”。</w:t>
      </w:r>
    </w:p>
    <w:p w14:paraId="63992E46">
      <w:pPr>
        <w:rPr>
          <w:color w:val="auto"/>
        </w:rPr>
      </w:pPr>
      <w:r>
        <w:rPr>
          <w:color w:val="auto"/>
        </w:rPr>
        <w:t>风机浮体、构网储能、电解槽、海缆与算力设备等关键装备的自主可控认证在规模推广前完成，其中海上电解制氢已有浮式平台海水直接电解验证实践[15]；认证结果进入标准设计包与采购技术规范，成为后续项目复用的工程基线。上游企业由此获得稳定订单预期、可复用认证资产和进入远期市场的资质。</w:t>
      </w:r>
    </w:p>
    <w:p w14:paraId="52C1E551">
      <w:pPr>
        <w:rPr>
          <w:color w:val="auto"/>
        </w:rPr>
      </w:pPr>
      <w:r>
        <w:rPr>
          <w:color w:val="auto"/>
        </w:rPr>
        <w:t>中游以共享设施形成海洋工程服务业：母港承担总装、运维与应急，备件库缩短故障修复周期，安装船与远程运维中心降低出海成本；设施使用率随项目数量提升、单位成本摊薄，形成“项目越多、成本越低”的规模效应，把海工固定自养成本转为可审计的服务合同。</w:t>
      </w:r>
    </w:p>
    <w:p w14:paraId="46A944DA">
      <w:pPr>
        <w:rPr>
          <w:color w:val="auto"/>
        </w:rPr>
      </w:pPr>
      <w:r>
        <w:rPr>
          <w:color w:val="auto"/>
        </w:rPr>
        <w:t>共享设施还可向同类项目与外部业主开放，形成母港作业、船舶调度、远程运维和数据服务等可计价服务单元，并带动港口经济与就业，使收益向产业生态延伸。</w:t>
      </w:r>
    </w:p>
    <w:p w14:paraId="127FB6D6">
      <w:pPr>
        <w:pStyle w:val="4"/>
        <w:rPr>
          <w:color w:val="auto"/>
        </w:rPr>
      </w:pPr>
      <w:r>
        <w:rPr>
          <w:color w:val="auto"/>
        </w:rPr>
        <w:t>6.3.3 下游应用生态与横向系统输出</w:t>
      </w:r>
    </w:p>
    <w:p w14:paraId="18CA6CAE">
      <w:pPr>
        <w:rPr>
          <w:color w:val="auto"/>
        </w:rPr>
      </w:pPr>
      <w:r>
        <w:rPr>
          <w:color w:val="auto"/>
        </w:rPr>
        <w:t>下游以负荷先行锁定三类客户：绿色算力客户关注绿电属性、PUE 与 SLA 保障，港航与海洋服务客户关注供能与通信连续性，海洋产业客户关注综合用能与环境权益。客户培育沿“联合验证—预签约—正式合同”推进，G2 形成正式合同后才扩容，把潜在需求转化为可签约市场。</w:t>
      </w:r>
    </w:p>
    <w:p w14:paraId="60601365">
      <w:pPr>
        <w:rPr>
          <w:color w:val="auto"/>
        </w:rPr>
      </w:pPr>
      <w:r>
        <w:rPr>
          <w:color w:val="auto"/>
        </w:rPr>
        <w:t>横向能力沉淀为五类可输出产品：标准设计包（工程基线）、EMS/MRV 平台（统一调度与计量结算）、认证方法（第三方核验流程）、融资合同模板（可复制合同结构）和数据服务（运行数据与碳资产台账），使收益从一次性工程收入转向持续性服务收入。</w:t>
      </w:r>
    </w:p>
    <w:p w14:paraId="7AE8F596">
      <w:pPr>
        <w:rPr>
          <w:color w:val="auto"/>
        </w:rPr>
      </w:pPr>
      <w:r>
        <w:rPr>
          <w:color w:val="auto"/>
        </w:rPr>
        <w:t>横向能力与检测认证、标准、保险、融资等配套体系互促：标准与认证提高可融资性，保险与融资为技术验证提供风险分担，形成“技术证据—合同模板—融资条件”正循环。</w:t>
      </w:r>
    </w:p>
    <w:p w14:paraId="1257A917">
      <w:pPr>
        <w:pStyle w:val="4"/>
        <w:rPr>
          <w:color w:val="auto"/>
        </w:rPr>
      </w:pPr>
      <w:r>
        <w:rPr>
          <w:color w:val="auto"/>
        </w:rPr>
        <w:t>6.3.4 产业链带动与生态闭环</w:t>
      </w:r>
    </w:p>
    <w:p w14:paraId="10A8A7A5">
      <w:pPr>
        <w:rPr>
          <w:color w:val="auto"/>
        </w:rPr>
      </w:pPr>
      <w:r>
        <w:rPr>
          <w:color w:val="auto"/>
        </w:rPr>
        <w:t>综上，产业链沿“上游带动—中游共享—下游应用—横向输出”形成闭环（图 6-6）：上游与中游依托示范订单和共享底座形成稳定需求与工程能力，下游锁定绿色算力、港航海洋服务与海洋产业三类客户，横向沉淀五类产品；四端协同使收益转向持续性服务收入，支撑“技术证据—合同模板—融资条件”正循环。</w:t>
      </w:r>
    </w:p>
    <w:p w14:paraId="3BF5668F">
      <w:pPr>
        <w:jc w:val="center"/>
        <w:rPr>
          <w:rFonts w:hint="eastAsia" w:eastAsia="宋体"/>
          <w:color w:val="auto"/>
          <w:lang w:eastAsia="zh-CN"/>
        </w:rPr>
      </w:pPr>
      <w:r>
        <w:rPr>
          <w:rFonts w:hint="eastAsia" w:eastAsia="宋体"/>
          <w:color w:val="auto"/>
          <w:lang w:eastAsia="zh-CN"/>
        </w:rPr>
        <w:drawing>
          <wp:inline distT="0" distB="0" distL="114300" distR="114300">
            <wp:extent cx="3345180" cy="2264410"/>
            <wp:effectExtent l="0" t="0" r="7620" b="8890"/>
            <wp:docPr id="4" name="图片 4" descr="ChatGPT Image 2026年8月7日 13_46_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hatGPT Image 2026年8月7日 13_46_45"/>
                    <pic:cNvPicPr>
                      <a:picLocks noChangeAspect="1"/>
                    </pic:cNvPicPr>
                  </pic:nvPicPr>
                  <pic:blipFill>
                    <a:blip r:embed="rId11"/>
                    <a:srcRect t="9726"/>
                    <a:stretch>
                      <a:fillRect/>
                    </a:stretch>
                  </pic:blipFill>
                  <pic:spPr>
                    <a:xfrm>
                      <a:off x="0" y="0"/>
                      <a:ext cx="3345180" cy="2264410"/>
                    </a:xfrm>
                    <a:prstGeom prst="rect">
                      <a:avLst/>
                    </a:prstGeom>
                  </pic:spPr>
                </pic:pic>
              </a:graphicData>
            </a:graphic>
          </wp:inline>
        </w:drawing>
      </w:r>
    </w:p>
    <w:p w14:paraId="105C2AA8">
      <w:pPr>
        <w:spacing w:before="80" w:after="80" w:line="264" w:lineRule="auto"/>
        <w:jc w:val="center"/>
        <w:rPr>
          <w:color w:val="auto"/>
        </w:rPr>
      </w:pPr>
      <w:r>
        <w:rPr>
          <w:rFonts w:ascii="Calibri" w:hAnsi="Calibri" w:eastAsia="宋体"/>
          <w:b/>
          <w:color w:val="auto"/>
          <w:sz w:val="20"/>
        </w:rPr>
        <w:t>图6-6</w:t>
      </w:r>
      <w:r>
        <w:rPr>
          <w:rFonts w:hint="eastAsia" w:ascii="Calibri" w:hAnsi="Calibri" w:eastAsia="宋体"/>
          <w:b/>
          <w:color w:val="auto"/>
          <w:sz w:val="20"/>
          <w:lang w:val="en-US" w:eastAsia="zh-CN"/>
        </w:rPr>
        <w:t xml:space="preserve"> </w:t>
      </w:r>
      <w:r>
        <w:rPr>
          <w:rFonts w:ascii="Calibri" w:hAnsi="Calibri" w:eastAsia="宋体"/>
          <w:b/>
          <w:color w:val="auto"/>
          <w:sz w:val="20"/>
        </w:rPr>
        <w:t>产业链带动与生态闭环</w:t>
      </w:r>
    </w:p>
    <w:p w14:paraId="6CCAB6D2">
      <w:pPr>
        <w:pStyle w:val="4"/>
        <w:spacing w:before="240" w:after="120"/>
        <w:rPr>
          <w:color w:val="auto"/>
        </w:rPr>
      </w:pPr>
      <w:r>
        <w:rPr>
          <w:rFonts w:ascii="Calibri" w:hAnsi="Calibri" w:eastAsia="黑体"/>
          <w:b/>
          <w:color w:val="auto"/>
          <w:sz w:val="26"/>
        </w:rPr>
        <w:t>6.3.5 近中远期产业培育路径</w:t>
      </w:r>
    </w:p>
    <w:p w14:paraId="7812C6C0">
      <w:pPr>
        <w:spacing w:before="0" w:after="120" w:line="264" w:lineRule="auto"/>
        <w:rPr>
          <w:rFonts w:hint="eastAsia" w:eastAsia="宋体"/>
          <w:color w:val="auto"/>
          <w:lang w:val="en-US" w:eastAsia="zh-CN"/>
        </w:rPr>
      </w:pPr>
      <w:r>
        <w:rPr>
          <w:rFonts w:ascii="Calibri" w:hAnsi="Calibri" w:eastAsia="宋体"/>
          <w:b w:val="0"/>
          <w:color w:val="auto"/>
          <w:sz w:val="20"/>
        </w:rPr>
        <w:t>产业生态构建结合 G0–G3 验证闸门、投资包 A/B/C 与收益分层，按近、中、远期形成培育技术路线图（图 6-7）。</w:t>
      </w:r>
    </w:p>
    <w:p w14:paraId="46B4541C">
      <w:pPr>
        <w:jc w:val="center"/>
        <w:rPr>
          <w:rFonts w:hint="eastAsia" w:eastAsia="宋体"/>
          <w:color w:val="auto"/>
          <w:lang w:eastAsia="zh-CN"/>
        </w:rPr>
      </w:pPr>
      <w:r>
        <w:rPr>
          <w:rFonts w:hint="eastAsia" w:eastAsia="宋体"/>
          <w:color w:val="auto"/>
          <w:lang w:eastAsia="zh-CN"/>
        </w:rPr>
        <w:drawing>
          <wp:inline distT="0" distB="0" distL="114300" distR="114300">
            <wp:extent cx="3670300" cy="2596515"/>
            <wp:effectExtent l="0" t="0" r="4445" b="7620"/>
            <wp:docPr id="5" name="图片 5" descr="ChatGPT Image 2026年8月7日 13_52_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hatGPT Image 2026年8月7日 13_52_16"/>
                    <pic:cNvPicPr>
                      <a:picLocks noChangeAspect="1"/>
                    </pic:cNvPicPr>
                  </pic:nvPicPr>
                  <pic:blipFill>
                    <a:blip r:embed="rId12"/>
                    <a:stretch>
                      <a:fillRect/>
                    </a:stretch>
                  </pic:blipFill>
                  <pic:spPr>
                    <a:xfrm>
                      <a:off x="0" y="0"/>
                      <a:ext cx="5481955" cy="3878580"/>
                    </a:xfrm>
                    <a:prstGeom prst="rect">
                      <a:avLst/>
                    </a:prstGeom>
                  </pic:spPr>
                </pic:pic>
              </a:graphicData>
            </a:graphic>
          </wp:inline>
        </w:drawing>
      </w:r>
    </w:p>
    <w:p w14:paraId="2536D2FF">
      <w:pPr>
        <w:spacing w:before="80" w:after="80" w:line="264" w:lineRule="auto"/>
        <w:jc w:val="center"/>
        <w:rPr>
          <w:color w:val="auto"/>
        </w:rPr>
      </w:pPr>
      <w:r>
        <w:rPr>
          <w:rFonts w:ascii="Calibri" w:hAnsi="Calibri" w:eastAsia="宋体"/>
          <w:b/>
          <w:color w:val="auto"/>
          <w:sz w:val="20"/>
        </w:rPr>
        <w:t>图6-7</w:t>
      </w:r>
      <w:r>
        <w:rPr>
          <w:rFonts w:hint="eastAsia" w:ascii="Calibri" w:hAnsi="Calibri" w:eastAsia="宋体"/>
          <w:b/>
          <w:color w:val="auto"/>
          <w:sz w:val="20"/>
          <w:lang w:val="en-US" w:eastAsia="zh-CN"/>
        </w:rPr>
        <w:t xml:space="preserve"> </w:t>
      </w:r>
      <w:r>
        <w:rPr>
          <w:rFonts w:ascii="Calibri" w:hAnsi="Calibri" w:eastAsia="宋体"/>
          <w:b/>
          <w:color w:val="auto"/>
          <w:sz w:val="20"/>
        </w:rPr>
        <w:t>近中远期产业培育技术路线图</w:t>
      </w:r>
    </w:p>
    <w:p w14:paraId="62B8D169">
      <w:pPr>
        <w:pStyle w:val="3"/>
        <w:rPr>
          <w:color w:val="auto"/>
        </w:rPr>
      </w:pPr>
      <w:r>
        <w:rPr>
          <w:color w:val="auto"/>
        </w:rPr>
        <w:t>6.4 政策机制、示范工程与实施保障</w:t>
      </w:r>
    </w:p>
    <w:p w14:paraId="48FB63E9">
      <w:pPr>
        <w:rPr>
          <w:color w:val="auto"/>
        </w:rPr>
      </w:pPr>
      <w:r>
        <w:rPr>
          <w:color w:val="auto"/>
        </w:rPr>
        <w:t>培育路径落地取决于政策边界、示范场址与风险控制能否配套。本节在“三层政策边界”下区分已明确与待确认的政策收入，经 MCDA 比选建议以福建莆田南日岛—湄洲湾外海为示范首选候选区域，设六项证据验收标准，风险按分级触发停止与退出，回答产业培育“在哪建、靠什么保障、预期效果如何”。</w:t>
      </w:r>
    </w:p>
    <w:p w14:paraId="0A3E107C">
      <w:pPr>
        <w:pStyle w:val="4"/>
        <w:rPr>
          <w:color w:val="auto"/>
        </w:rPr>
      </w:pPr>
      <w:r>
        <w:rPr>
          <w:color w:val="auto"/>
        </w:rPr>
        <w:t>6.4.1 审批、收入与风险的政策工具</w:t>
      </w:r>
    </w:p>
    <w:p w14:paraId="59A9610F">
      <w:pPr>
        <w:rPr>
          <w:color w:val="auto"/>
        </w:rPr>
      </w:pPr>
      <w:r>
        <w:rPr>
          <w:color w:val="auto"/>
        </w:rPr>
        <w:t>现行政策已提供市场化电价、绿电直连、绿证管理、数据中心绿电、氢能试点与海上风电增值税优惠等接口，但一般政策不自动适用于深远海多业主、多产品系统，须按项目所在地确认。政策按三类边界处理：已明确的进入基准情景；需省级确认的仅进入敏感性情景；未批复的补助与口头承诺不确认为收入。</w:t>
      </w:r>
    </w:p>
    <w:p w14:paraId="011EF3B7">
      <w:pPr>
        <w:rPr>
          <w:color w:val="auto"/>
        </w:rPr>
      </w:pPr>
      <w:r>
        <w:rPr>
          <w:color w:val="auto"/>
        </w:rPr>
        <w:t>核心机制建议：审批联合化——省级编制“一个项目、一张清单、一个责任主体”联合预审文件；收入合同化——基础收入以长期合同锁定，超额能力参与现货与辅助服务市场（对应 6.2.2）；风险分担——资本性支持、贷款贴息、首台套保险补偿与 G0–G3 里程碑挂钩。</w:t>
      </w:r>
    </w:p>
    <w:p w14:paraId="4766ED69">
      <w:pPr>
        <w:rPr>
          <w:color w:val="auto"/>
        </w:rPr>
      </w:pPr>
      <w:r>
        <w:rPr>
          <w:b/>
          <w:color w:val="auto"/>
          <w:sz w:val="21"/>
        </w:rPr>
        <w:t>表6-4　现行政策机制及对本项目的适用判断</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2B210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B147394">
            <w:pPr>
              <w:spacing w:after="0" w:line="240" w:lineRule="auto"/>
              <w:rPr>
                <w:color w:val="auto"/>
              </w:rPr>
            </w:pPr>
            <w:r>
              <w:rPr>
                <w:rFonts w:ascii="Calibri" w:hAnsi="Calibri" w:eastAsia="宋体"/>
                <w:color w:val="auto"/>
                <w:sz w:val="18"/>
              </w:rPr>
              <w:t>政策领域</w:t>
            </w:r>
          </w:p>
        </w:tc>
        <w:tc>
          <w:tcPr>
            <w:tcW w:w="2880" w:type="dxa"/>
          </w:tcPr>
          <w:p w14:paraId="0233E234">
            <w:pPr>
              <w:spacing w:after="0" w:line="240" w:lineRule="auto"/>
              <w:rPr>
                <w:color w:val="auto"/>
              </w:rPr>
            </w:pPr>
            <w:r>
              <w:rPr>
                <w:rFonts w:ascii="Calibri" w:hAnsi="Calibri" w:eastAsia="宋体"/>
                <w:color w:val="auto"/>
                <w:sz w:val="18"/>
              </w:rPr>
              <w:t>已明确内容</w:t>
            </w:r>
          </w:p>
        </w:tc>
        <w:tc>
          <w:tcPr>
            <w:tcW w:w="2880" w:type="dxa"/>
          </w:tcPr>
          <w:p w14:paraId="14D0AD39">
            <w:pPr>
              <w:spacing w:after="0" w:line="240" w:lineRule="auto"/>
              <w:rPr>
                <w:color w:val="auto"/>
              </w:rPr>
            </w:pPr>
            <w:r>
              <w:rPr>
                <w:rFonts w:ascii="Calibri" w:hAnsi="Calibri" w:eastAsia="宋体"/>
                <w:color w:val="auto"/>
                <w:sz w:val="18"/>
              </w:rPr>
              <w:t>对本项目的判断</w:t>
            </w:r>
          </w:p>
        </w:tc>
      </w:tr>
      <w:tr w14:paraId="53C50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91260CA">
            <w:pPr>
              <w:spacing w:after="0" w:line="240" w:lineRule="auto"/>
              <w:rPr>
                <w:color w:val="auto"/>
              </w:rPr>
            </w:pPr>
            <w:r>
              <w:rPr>
                <w:rFonts w:ascii="Calibri" w:hAnsi="Calibri" w:eastAsia="宋体"/>
                <w:color w:val="auto"/>
                <w:sz w:val="18"/>
              </w:rPr>
              <w:t>新能源电价</w:t>
            </w:r>
          </w:p>
        </w:tc>
        <w:tc>
          <w:tcPr>
            <w:tcW w:w="2880" w:type="dxa"/>
          </w:tcPr>
          <w:p w14:paraId="07A4CAC0">
            <w:pPr>
              <w:spacing w:after="0" w:line="240" w:lineRule="auto"/>
              <w:rPr>
                <w:color w:val="auto"/>
              </w:rPr>
            </w:pPr>
            <w:r>
              <w:rPr>
                <w:rFonts w:ascii="Calibri" w:hAnsi="Calibri" w:eastAsia="宋体"/>
                <w:color w:val="auto"/>
                <w:sz w:val="18"/>
              </w:rPr>
              <w:t>新能源上网电量原则上进入市场，价格由市场形成[16]</w:t>
            </w:r>
          </w:p>
        </w:tc>
        <w:tc>
          <w:tcPr>
            <w:tcW w:w="2880" w:type="dxa"/>
          </w:tcPr>
          <w:p w14:paraId="3DE35A18">
            <w:pPr>
              <w:spacing w:after="0" w:line="240" w:lineRule="auto"/>
              <w:rPr>
                <w:color w:val="auto"/>
              </w:rPr>
            </w:pPr>
            <w:r>
              <w:rPr>
                <w:rFonts w:ascii="Calibri" w:hAnsi="Calibri" w:eastAsia="宋体"/>
                <w:color w:val="auto"/>
                <w:sz w:val="18"/>
              </w:rPr>
              <w:t>不能依赖固定标杆电价，作为基准情景的价格边界</w:t>
            </w:r>
          </w:p>
        </w:tc>
      </w:tr>
      <w:tr w14:paraId="58ACE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DB43E97">
            <w:pPr>
              <w:spacing w:after="0" w:line="240" w:lineRule="auto"/>
              <w:rPr>
                <w:color w:val="auto"/>
              </w:rPr>
            </w:pPr>
            <w:r>
              <w:rPr>
                <w:rFonts w:ascii="Calibri" w:hAnsi="Calibri" w:eastAsia="宋体"/>
                <w:color w:val="auto"/>
                <w:sz w:val="18"/>
              </w:rPr>
              <w:t>绿电直连</w:t>
            </w:r>
          </w:p>
        </w:tc>
        <w:tc>
          <w:tcPr>
            <w:tcW w:w="2880" w:type="dxa"/>
          </w:tcPr>
          <w:p w14:paraId="7A24C689">
            <w:pPr>
              <w:spacing w:after="0" w:line="240" w:lineRule="auto"/>
              <w:rPr>
                <w:color w:val="auto"/>
              </w:rPr>
            </w:pPr>
            <w:r>
              <w:rPr>
                <w:rFonts w:ascii="Calibri" w:hAnsi="Calibri" w:eastAsia="宋体"/>
                <w:color w:val="auto"/>
                <w:sz w:val="18"/>
              </w:rPr>
              <w:t>单用户及多用户模式明确物理界面、主责单位和结算规则[17][18]</w:t>
            </w:r>
          </w:p>
        </w:tc>
        <w:tc>
          <w:tcPr>
            <w:tcW w:w="2880" w:type="dxa"/>
          </w:tcPr>
          <w:p w14:paraId="530EAEF7">
            <w:pPr>
              <w:spacing w:after="0" w:line="240" w:lineRule="auto"/>
              <w:rPr>
                <w:color w:val="auto"/>
              </w:rPr>
            </w:pPr>
            <w:r>
              <w:rPr>
                <w:rFonts w:ascii="Calibri" w:hAnsi="Calibri" w:eastAsia="宋体"/>
                <w:color w:val="auto"/>
                <w:sz w:val="18"/>
              </w:rPr>
              <w:t>可为岛内算力和海洋负荷分产品供电提供入口，适用方式须由省级主管部门确认</w:t>
            </w:r>
          </w:p>
        </w:tc>
      </w:tr>
      <w:tr w14:paraId="613FC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367012F">
            <w:pPr>
              <w:spacing w:after="0" w:line="240" w:lineRule="auto"/>
              <w:rPr>
                <w:color w:val="auto"/>
              </w:rPr>
            </w:pPr>
            <w:r>
              <w:rPr>
                <w:rFonts w:ascii="Calibri" w:hAnsi="Calibri" w:eastAsia="宋体"/>
                <w:color w:val="auto"/>
                <w:sz w:val="18"/>
              </w:rPr>
              <w:t>绿证管理</w:t>
            </w:r>
          </w:p>
        </w:tc>
        <w:tc>
          <w:tcPr>
            <w:tcW w:w="2880" w:type="dxa"/>
          </w:tcPr>
          <w:p w14:paraId="08676906">
            <w:pPr>
              <w:spacing w:after="0" w:line="240" w:lineRule="auto"/>
              <w:rPr>
                <w:color w:val="auto"/>
              </w:rPr>
            </w:pPr>
            <w:r>
              <w:rPr>
                <w:rFonts w:ascii="Calibri" w:hAnsi="Calibri" w:eastAsia="宋体"/>
                <w:color w:val="auto"/>
                <w:sz w:val="18"/>
              </w:rPr>
              <w:t>核发、划转、核销规则已明确[19][20]；绿证与CCER衔接通知有效期至2026年9月30日[21]；核发与交易数据见[22][23]，CCER 海上风电方法学及市场运行见[24][25]</w:t>
            </w:r>
          </w:p>
        </w:tc>
        <w:tc>
          <w:tcPr>
            <w:tcW w:w="2880" w:type="dxa"/>
          </w:tcPr>
          <w:p w14:paraId="52EBC931">
            <w:pPr>
              <w:spacing w:after="0" w:line="240" w:lineRule="auto"/>
              <w:rPr>
                <w:color w:val="auto"/>
              </w:rPr>
            </w:pPr>
            <w:r>
              <w:rPr>
                <w:rFonts w:ascii="Calibri" w:hAnsi="Calibri" w:eastAsia="宋体"/>
                <w:color w:val="auto"/>
                <w:sz w:val="18"/>
              </w:rPr>
              <w:t>必须分表计量，在绿证与CCER之间选择净收益更高的路径；2026年10月后按届时规则复核</w:t>
            </w:r>
          </w:p>
        </w:tc>
      </w:tr>
      <w:tr w14:paraId="5766A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87FF2D5">
            <w:pPr>
              <w:spacing w:after="0" w:line="240" w:lineRule="auto"/>
              <w:rPr>
                <w:color w:val="auto"/>
              </w:rPr>
            </w:pPr>
            <w:r>
              <w:rPr>
                <w:rFonts w:ascii="Calibri" w:hAnsi="Calibri" w:eastAsia="宋体"/>
                <w:color w:val="auto"/>
                <w:sz w:val="18"/>
              </w:rPr>
              <w:t>海上风电增值税</w:t>
            </w:r>
          </w:p>
        </w:tc>
        <w:tc>
          <w:tcPr>
            <w:tcW w:w="2880" w:type="dxa"/>
          </w:tcPr>
          <w:p w14:paraId="19D4B383">
            <w:pPr>
              <w:spacing w:after="0" w:line="240" w:lineRule="auto"/>
              <w:rPr>
                <w:color w:val="auto"/>
              </w:rPr>
            </w:pPr>
            <w:r>
              <w:rPr>
                <w:rFonts w:ascii="Calibri" w:hAnsi="Calibri" w:eastAsia="宋体"/>
                <w:color w:val="auto"/>
                <w:sz w:val="18"/>
              </w:rPr>
              <w:t>2025年11月1日至2027年12月31日，符合条件的电力即征即退50%[26]</w:t>
            </w:r>
          </w:p>
        </w:tc>
        <w:tc>
          <w:tcPr>
            <w:tcW w:w="2880" w:type="dxa"/>
          </w:tcPr>
          <w:p w14:paraId="416DBAA7">
            <w:pPr>
              <w:spacing w:after="0" w:line="240" w:lineRule="auto"/>
              <w:rPr>
                <w:color w:val="auto"/>
              </w:rPr>
            </w:pPr>
            <w:r>
              <w:rPr>
                <w:rFonts w:ascii="Calibri" w:hAnsi="Calibri" w:eastAsia="宋体"/>
                <w:color w:val="auto"/>
                <w:sz w:val="18"/>
              </w:rPr>
              <w:t>仅计入有效期内政策情景，2028年后设置延续和退出敏感性</w:t>
            </w:r>
          </w:p>
        </w:tc>
      </w:tr>
      <w:tr w14:paraId="56B9D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321BEA0">
            <w:pPr>
              <w:spacing w:after="0" w:line="240" w:lineRule="auto"/>
              <w:rPr>
                <w:color w:val="auto"/>
              </w:rPr>
            </w:pPr>
            <w:r>
              <w:rPr>
                <w:rFonts w:ascii="Calibri" w:hAnsi="Calibri" w:eastAsia="宋体"/>
                <w:color w:val="auto"/>
                <w:sz w:val="18"/>
              </w:rPr>
              <w:t>氢能试点</w:t>
            </w:r>
          </w:p>
        </w:tc>
        <w:tc>
          <w:tcPr>
            <w:tcW w:w="2880" w:type="dxa"/>
          </w:tcPr>
          <w:p w14:paraId="0FB18952">
            <w:pPr>
              <w:spacing w:after="0" w:line="240" w:lineRule="auto"/>
              <w:rPr>
                <w:color w:val="auto"/>
              </w:rPr>
            </w:pPr>
            <w:r>
              <w:rPr>
                <w:rFonts w:ascii="Calibri" w:hAnsi="Calibri" w:eastAsia="宋体"/>
                <w:color w:val="auto"/>
                <w:sz w:val="18"/>
              </w:rPr>
              <w:t>以项目和区域试点推进技术和商业模式验证[27][28]</w:t>
            </w:r>
          </w:p>
        </w:tc>
        <w:tc>
          <w:tcPr>
            <w:tcW w:w="2880" w:type="dxa"/>
          </w:tcPr>
          <w:p w14:paraId="126113B8">
            <w:pPr>
              <w:spacing w:after="0" w:line="240" w:lineRule="auto"/>
              <w:rPr>
                <w:color w:val="auto"/>
              </w:rPr>
            </w:pPr>
            <w:r>
              <w:rPr>
                <w:rFonts w:ascii="Calibri" w:hAnsi="Calibri" w:eastAsia="宋体"/>
                <w:color w:val="auto"/>
                <w:sz w:val="18"/>
              </w:rPr>
              <w:t>可争取项目入库和首台套支持，不假设全国统一生产补贴</w:t>
            </w:r>
          </w:p>
        </w:tc>
      </w:tr>
      <w:tr w14:paraId="18FDF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FEB9BD1">
            <w:pPr>
              <w:spacing w:after="0" w:line="240" w:lineRule="auto"/>
              <w:rPr>
                <w:color w:val="auto"/>
              </w:rPr>
            </w:pPr>
            <w:r>
              <w:rPr>
                <w:rFonts w:ascii="Calibri" w:hAnsi="Calibri" w:eastAsia="宋体"/>
                <w:color w:val="auto"/>
                <w:sz w:val="18"/>
              </w:rPr>
              <w:t>绿色算力</w:t>
            </w:r>
          </w:p>
        </w:tc>
        <w:tc>
          <w:tcPr>
            <w:tcW w:w="2880" w:type="dxa"/>
          </w:tcPr>
          <w:p w14:paraId="0B45EA67">
            <w:pPr>
              <w:spacing w:after="0" w:line="240" w:lineRule="auto"/>
              <w:rPr>
                <w:color w:val="auto"/>
              </w:rPr>
            </w:pPr>
            <w:r>
              <w:rPr>
                <w:rFonts w:ascii="Calibri" w:hAnsi="Calibri" w:eastAsia="宋体"/>
                <w:color w:val="auto"/>
                <w:sz w:val="18"/>
              </w:rPr>
              <w:t>数据中心行动要求上架率、PUE（Power Usage Effectiveness，电能利用效率）和绿电消费比例[29][30]</w:t>
            </w:r>
          </w:p>
        </w:tc>
        <w:tc>
          <w:tcPr>
            <w:tcW w:w="2880" w:type="dxa"/>
          </w:tcPr>
          <w:p w14:paraId="4DF1E338">
            <w:pPr>
              <w:spacing w:after="0" w:line="240" w:lineRule="auto"/>
              <w:rPr>
                <w:color w:val="auto"/>
              </w:rPr>
            </w:pPr>
            <w:r>
              <w:rPr>
                <w:rFonts w:ascii="Calibri" w:hAnsi="Calibri" w:eastAsia="宋体"/>
                <w:color w:val="auto"/>
                <w:sz w:val="18"/>
              </w:rPr>
              <w:t>收入按算力服务和SLA（Service Level Agreement，服务等级协议）核算，绿电属性是客户价值而非自动补贴</w:t>
            </w:r>
          </w:p>
        </w:tc>
      </w:tr>
      <w:tr w14:paraId="404E0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70B0FFE">
            <w:pPr>
              <w:spacing w:after="0" w:line="240" w:lineRule="auto"/>
              <w:rPr>
                <w:color w:val="auto"/>
              </w:rPr>
            </w:pPr>
            <w:r>
              <w:rPr>
                <w:rFonts w:ascii="Calibri" w:hAnsi="Calibri" w:eastAsia="宋体"/>
                <w:color w:val="auto"/>
                <w:sz w:val="18"/>
              </w:rPr>
              <w:t>绿色航运燃料</w:t>
            </w:r>
          </w:p>
        </w:tc>
        <w:tc>
          <w:tcPr>
            <w:tcW w:w="2880" w:type="dxa"/>
          </w:tcPr>
          <w:p w14:paraId="6CA329D5">
            <w:pPr>
              <w:spacing w:after="0" w:line="240" w:lineRule="auto"/>
              <w:rPr>
                <w:color w:val="auto"/>
              </w:rPr>
            </w:pPr>
            <w:r>
              <w:rPr>
                <w:rFonts w:ascii="Calibri" w:hAnsi="Calibri" w:eastAsia="宋体"/>
                <w:color w:val="auto"/>
                <w:sz w:val="18"/>
              </w:rPr>
              <w:t>上海已形成绿色甲醇加注作业实践；甲醇、氨等危险货物的运输和加注仍须分别满足海事监管、作业许可和安全技术要求[8][31]</w:t>
            </w:r>
          </w:p>
        </w:tc>
        <w:tc>
          <w:tcPr>
            <w:tcW w:w="2880" w:type="dxa"/>
          </w:tcPr>
          <w:p w14:paraId="3762EAD2">
            <w:pPr>
              <w:spacing w:after="0" w:line="240" w:lineRule="auto"/>
              <w:rPr>
                <w:color w:val="auto"/>
              </w:rPr>
            </w:pPr>
            <w:r>
              <w:rPr>
                <w:rFonts w:ascii="Calibri" w:hAnsi="Calibri" w:eastAsia="宋体"/>
                <w:color w:val="auto"/>
                <w:sz w:val="18"/>
              </w:rPr>
              <w:t>近期以成熟港区、固定作业水域和静态接口为主，液氨海上加注须另行完成许可、船级社和应急论证</w:t>
            </w:r>
          </w:p>
        </w:tc>
      </w:tr>
      <w:tr w14:paraId="020BF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225A13E">
            <w:pPr>
              <w:rPr>
                <w:color w:val="auto"/>
              </w:rPr>
            </w:pPr>
            <w:r>
              <w:rPr>
                <w:rFonts w:ascii="Calibri" w:hAnsi="Calibri" w:eastAsia="宋体"/>
                <w:color w:val="auto"/>
                <w:sz w:val="18"/>
              </w:rPr>
              <w:t>海域立体分层设权</w:t>
            </w:r>
          </w:p>
        </w:tc>
        <w:tc>
          <w:tcPr>
            <w:tcW w:w="2880" w:type="dxa"/>
          </w:tcPr>
          <w:p w14:paraId="3F1373B4">
            <w:pPr>
              <w:rPr>
                <w:color w:val="auto"/>
              </w:rPr>
            </w:pPr>
            <w:r>
              <w:rPr>
                <w:rFonts w:ascii="Calibri" w:hAnsi="Calibri" w:eastAsia="宋体"/>
                <w:color w:val="auto"/>
                <w:sz w:val="18"/>
              </w:rPr>
              <w:t>海南对海底数据中心等立体用海实行分层设权，陵水海底数据中心一期用海仅 14.46 公顷[32]</w:t>
            </w:r>
          </w:p>
        </w:tc>
        <w:tc>
          <w:tcPr>
            <w:tcW w:w="2880" w:type="dxa"/>
          </w:tcPr>
          <w:p w14:paraId="1013ED7F">
            <w:pPr>
              <w:rPr>
                <w:color w:val="auto"/>
              </w:rPr>
            </w:pPr>
            <w:r>
              <w:rPr>
                <w:rFonts w:ascii="Calibri" w:hAnsi="Calibri" w:eastAsia="宋体"/>
                <w:color w:val="auto"/>
                <w:sz w:val="18"/>
              </w:rPr>
              <w:t>多业主共址、分层用海须按省级实践确认权属与审批路径，进入敏感性情景</w:t>
            </w:r>
          </w:p>
        </w:tc>
      </w:tr>
    </w:tbl>
    <w:p w14:paraId="1C632FFF">
      <w:pPr>
        <w:rPr>
          <w:color w:val="auto"/>
        </w:rPr>
      </w:pPr>
    </w:p>
    <w:p w14:paraId="78F5E2B5">
      <w:pPr>
        <w:pStyle w:val="4"/>
        <w:rPr>
          <w:color w:val="auto"/>
        </w:rPr>
      </w:pPr>
      <w:r>
        <w:rPr>
          <w:color w:val="auto"/>
        </w:rPr>
        <w:t>6.4.2 示范场址与验收</w:t>
      </w:r>
    </w:p>
    <w:p w14:paraId="661E6644">
      <w:pPr>
        <w:rPr>
          <w:color w:val="auto"/>
        </w:rPr>
      </w:pPr>
      <w:r>
        <w:rPr>
          <w:color w:val="auto"/>
        </w:rPr>
        <w:t>示范场址以 MCDA 对福建莆田南日岛—湄洲湾外海、广东珠海高栏—江门川岛、山东渤中比选（图 6-8、表 6-5）。莆田候选总分最高，胜在国能资产与团队衔接成熟、深远海台风代表性充分，且湄洲湾港与沿海负荷算力需求可支撑示范验证[4][33][34]，建议作为首选预可研区域；前提是深水台风代表性、岸基保障、电力接入或本地负荷路径清晰，且至少一家算力或海洋服务客户进入联合验证。</w:t>
      </w:r>
    </w:p>
    <w:p w14:paraId="0EC1ED23">
      <w:pPr>
        <w:spacing w:before="80" w:after="80" w:line="264" w:lineRule="auto"/>
        <w:jc w:val="center"/>
        <w:rPr>
          <w:color w:val="auto"/>
        </w:rPr>
      </w:pPr>
      <w:r>
        <w:rPr>
          <w:rFonts w:ascii="Calibri" w:hAnsi="Calibri" w:eastAsia="宋体"/>
          <w:b/>
          <w:color w:val="auto"/>
          <w:sz w:val="20"/>
        </w:rPr>
        <w:t>表6-5</w:t>
      </w:r>
      <w:r>
        <w:rPr>
          <w:rFonts w:hint="eastAsia" w:ascii="Calibri" w:hAnsi="Calibri" w:eastAsia="宋体"/>
          <w:b/>
          <w:color w:val="auto"/>
          <w:sz w:val="20"/>
          <w:lang w:val="en-US" w:eastAsia="zh-CN"/>
        </w:rPr>
        <w:t xml:space="preserve"> </w:t>
      </w:r>
      <w:r>
        <w:rPr>
          <w:rFonts w:ascii="Calibri" w:hAnsi="Calibri" w:eastAsia="宋体"/>
          <w:b/>
          <w:color w:val="auto"/>
          <w:sz w:val="20"/>
        </w:rPr>
        <w:t>候选场址多准则决策分析（MCDA）评分表</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8"/>
        <w:gridCol w:w="1728"/>
        <w:gridCol w:w="1728"/>
        <w:gridCol w:w="1728"/>
        <w:gridCol w:w="1728"/>
      </w:tblGrid>
      <w:tr w14:paraId="6D096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dxa"/>
          </w:tcPr>
          <w:p w14:paraId="3E3F007F">
            <w:pPr>
              <w:jc w:val="center"/>
              <w:rPr>
                <w:color w:val="auto"/>
              </w:rPr>
            </w:pPr>
            <w:r>
              <w:rPr>
                <w:rFonts w:ascii="Calibri" w:hAnsi="Calibri" w:eastAsia="宋体"/>
                <w:b/>
                <w:color w:val="auto"/>
                <w:sz w:val="18"/>
              </w:rPr>
              <w:t>评价维度</w:t>
            </w:r>
          </w:p>
        </w:tc>
        <w:tc>
          <w:tcPr>
            <w:tcW w:w="624" w:type="dxa"/>
          </w:tcPr>
          <w:p w14:paraId="12B37FDA">
            <w:pPr>
              <w:jc w:val="center"/>
              <w:rPr>
                <w:color w:val="auto"/>
              </w:rPr>
            </w:pPr>
            <w:r>
              <w:rPr>
                <w:rFonts w:ascii="Calibri" w:hAnsi="Calibri" w:eastAsia="宋体"/>
                <w:b/>
                <w:color w:val="auto"/>
                <w:sz w:val="18"/>
              </w:rPr>
              <w:t>权重</w:t>
            </w:r>
          </w:p>
        </w:tc>
        <w:tc>
          <w:tcPr>
            <w:tcW w:w="2098" w:type="dxa"/>
          </w:tcPr>
          <w:p w14:paraId="32A8376C">
            <w:pPr>
              <w:jc w:val="center"/>
              <w:rPr>
                <w:color w:val="auto"/>
              </w:rPr>
            </w:pPr>
            <w:r>
              <w:rPr>
                <w:rFonts w:ascii="Calibri" w:hAnsi="Calibri" w:eastAsia="宋体"/>
                <w:b/>
                <w:color w:val="auto"/>
                <w:sz w:val="18"/>
              </w:rPr>
              <w:t>福建莆田（评分/依据）</w:t>
            </w:r>
          </w:p>
        </w:tc>
        <w:tc>
          <w:tcPr>
            <w:tcW w:w="2041" w:type="dxa"/>
          </w:tcPr>
          <w:p w14:paraId="39FC5621">
            <w:pPr>
              <w:jc w:val="center"/>
              <w:rPr>
                <w:color w:val="auto"/>
              </w:rPr>
            </w:pPr>
            <w:r>
              <w:rPr>
                <w:rFonts w:ascii="Calibri" w:hAnsi="Calibri" w:eastAsia="宋体"/>
                <w:b/>
                <w:color w:val="auto"/>
                <w:sz w:val="18"/>
              </w:rPr>
              <w:t>广东珠海（评分/依据）</w:t>
            </w:r>
          </w:p>
        </w:tc>
        <w:tc>
          <w:tcPr>
            <w:tcW w:w="2041" w:type="dxa"/>
          </w:tcPr>
          <w:p w14:paraId="3095791F">
            <w:pPr>
              <w:jc w:val="center"/>
              <w:rPr>
                <w:color w:val="auto"/>
              </w:rPr>
            </w:pPr>
            <w:r>
              <w:rPr>
                <w:rFonts w:ascii="Calibri" w:hAnsi="Calibri" w:eastAsia="宋体"/>
                <w:b/>
                <w:color w:val="auto"/>
                <w:sz w:val="18"/>
              </w:rPr>
              <w:t>山东渤中（评分/依据）</w:t>
            </w:r>
          </w:p>
        </w:tc>
      </w:tr>
      <w:tr w14:paraId="16DC2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dxa"/>
          </w:tcPr>
          <w:p w14:paraId="7C82889D">
            <w:pPr>
              <w:jc w:val="center"/>
              <w:rPr>
                <w:color w:val="auto"/>
              </w:rPr>
            </w:pPr>
            <w:r>
              <w:rPr>
                <w:rFonts w:ascii="Calibri" w:hAnsi="Calibri" w:eastAsia="宋体"/>
                <w:b w:val="0"/>
                <w:color w:val="auto"/>
                <w:sz w:val="18"/>
              </w:rPr>
              <w:t>国能资产与团队衔接</w:t>
            </w:r>
          </w:p>
        </w:tc>
        <w:tc>
          <w:tcPr>
            <w:tcW w:w="624" w:type="dxa"/>
          </w:tcPr>
          <w:p w14:paraId="3D94AEA7">
            <w:pPr>
              <w:rPr>
                <w:color w:val="auto"/>
              </w:rPr>
            </w:pPr>
            <w:r>
              <w:rPr>
                <w:rFonts w:ascii="Calibri" w:hAnsi="Calibri" w:eastAsia="宋体"/>
                <w:b w:val="0"/>
                <w:color w:val="auto"/>
                <w:sz w:val="18"/>
              </w:rPr>
              <w:t>25%</w:t>
            </w:r>
          </w:p>
        </w:tc>
        <w:tc>
          <w:tcPr>
            <w:tcW w:w="2098" w:type="dxa"/>
          </w:tcPr>
          <w:p w14:paraId="5483C4FA">
            <w:pPr>
              <w:rPr>
                <w:color w:val="auto"/>
              </w:rPr>
            </w:pPr>
            <w:r>
              <w:rPr>
                <w:rFonts w:ascii="Calibri" w:hAnsi="Calibri" w:eastAsia="宋体"/>
                <w:b w:val="0"/>
                <w:color w:val="auto"/>
                <w:sz w:val="18"/>
              </w:rPr>
              <w:t>3：浮式平台与外海项目基础[4][33]</w:t>
            </w:r>
          </w:p>
        </w:tc>
        <w:tc>
          <w:tcPr>
            <w:tcW w:w="2041" w:type="dxa"/>
          </w:tcPr>
          <w:p w14:paraId="3ABE9D28">
            <w:pPr>
              <w:rPr>
                <w:color w:val="auto"/>
              </w:rPr>
            </w:pPr>
            <w:r>
              <w:rPr>
                <w:rFonts w:ascii="Calibri" w:hAnsi="Calibri" w:eastAsia="宋体"/>
                <w:b w:val="0"/>
                <w:color w:val="auto"/>
                <w:sz w:val="18"/>
              </w:rPr>
              <w:t>2：高栏一、川岛二项目衔接[35][36]</w:t>
            </w:r>
          </w:p>
        </w:tc>
        <w:tc>
          <w:tcPr>
            <w:tcW w:w="2041" w:type="dxa"/>
          </w:tcPr>
          <w:p w14:paraId="414F4F70">
            <w:pPr>
              <w:rPr>
                <w:color w:val="auto"/>
              </w:rPr>
            </w:pPr>
            <w:r>
              <w:rPr>
                <w:rFonts w:ascii="Calibri" w:hAnsi="Calibri" w:eastAsia="宋体"/>
                <w:b w:val="0"/>
                <w:color w:val="auto"/>
                <w:sz w:val="18"/>
              </w:rPr>
              <w:t>3：渤中 B2 及山东运维体系[37]</w:t>
            </w:r>
          </w:p>
        </w:tc>
      </w:tr>
      <w:tr w14:paraId="37913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dxa"/>
          </w:tcPr>
          <w:p w14:paraId="79C54D5F">
            <w:pPr>
              <w:jc w:val="center"/>
              <w:rPr>
                <w:color w:val="auto"/>
              </w:rPr>
            </w:pPr>
            <w:r>
              <w:rPr>
                <w:rFonts w:ascii="Calibri" w:hAnsi="Calibri" w:eastAsia="宋体"/>
                <w:b w:val="0"/>
                <w:color w:val="auto"/>
                <w:sz w:val="18"/>
              </w:rPr>
              <w:t>深远海与极端海况代表性</w:t>
            </w:r>
          </w:p>
        </w:tc>
        <w:tc>
          <w:tcPr>
            <w:tcW w:w="624" w:type="dxa"/>
          </w:tcPr>
          <w:p w14:paraId="4D9C941C">
            <w:pPr>
              <w:rPr>
                <w:color w:val="auto"/>
              </w:rPr>
            </w:pPr>
            <w:r>
              <w:rPr>
                <w:rFonts w:ascii="Calibri" w:hAnsi="Calibri" w:eastAsia="宋体"/>
                <w:b w:val="0"/>
                <w:color w:val="auto"/>
                <w:sz w:val="18"/>
              </w:rPr>
              <w:t>20%</w:t>
            </w:r>
          </w:p>
        </w:tc>
        <w:tc>
          <w:tcPr>
            <w:tcW w:w="2098" w:type="dxa"/>
          </w:tcPr>
          <w:p w14:paraId="062297DB">
            <w:pPr>
              <w:rPr>
                <w:color w:val="auto"/>
              </w:rPr>
            </w:pPr>
            <w:r>
              <w:rPr>
                <w:rFonts w:ascii="Calibri" w:hAnsi="Calibri" w:eastAsia="宋体"/>
                <w:b w:val="0"/>
                <w:color w:val="auto"/>
                <w:sz w:val="18"/>
              </w:rPr>
              <w:t>3：浮式、台风与外海扩展条件兼备</w:t>
            </w:r>
          </w:p>
        </w:tc>
        <w:tc>
          <w:tcPr>
            <w:tcW w:w="2041" w:type="dxa"/>
          </w:tcPr>
          <w:p w14:paraId="5B0E46C2">
            <w:pPr>
              <w:rPr>
                <w:color w:val="auto"/>
              </w:rPr>
            </w:pPr>
            <w:r>
              <w:rPr>
                <w:rFonts w:ascii="Calibri" w:hAnsi="Calibri" w:eastAsia="宋体"/>
                <w:b w:val="0"/>
                <w:color w:val="auto"/>
                <w:sz w:val="18"/>
              </w:rPr>
              <w:t>2：台风与海工条件典型，具体水深待核</w:t>
            </w:r>
          </w:p>
        </w:tc>
        <w:tc>
          <w:tcPr>
            <w:tcW w:w="2041" w:type="dxa"/>
          </w:tcPr>
          <w:p w14:paraId="77D60E7E">
            <w:pPr>
              <w:rPr>
                <w:color w:val="auto"/>
              </w:rPr>
            </w:pPr>
            <w:r>
              <w:rPr>
                <w:rFonts w:ascii="Calibri" w:hAnsi="Calibri" w:eastAsia="宋体"/>
                <w:b w:val="0"/>
                <w:color w:val="auto"/>
                <w:sz w:val="18"/>
              </w:rPr>
              <w:t>1：现有水深较浅，不能代表深远海浮式</w:t>
            </w:r>
          </w:p>
        </w:tc>
      </w:tr>
      <w:tr w14:paraId="5493A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dxa"/>
          </w:tcPr>
          <w:p w14:paraId="2620E5C4">
            <w:pPr>
              <w:jc w:val="center"/>
              <w:rPr>
                <w:color w:val="auto"/>
              </w:rPr>
            </w:pPr>
            <w:r>
              <w:rPr>
                <w:rFonts w:ascii="Calibri" w:hAnsi="Calibri" w:eastAsia="宋体"/>
                <w:b w:val="0"/>
                <w:color w:val="auto"/>
                <w:sz w:val="18"/>
              </w:rPr>
              <w:t>港口海工与运维条件</w:t>
            </w:r>
          </w:p>
        </w:tc>
        <w:tc>
          <w:tcPr>
            <w:tcW w:w="624" w:type="dxa"/>
          </w:tcPr>
          <w:p w14:paraId="12390104">
            <w:pPr>
              <w:rPr>
                <w:color w:val="auto"/>
              </w:rPr>
            </w:pPr>
            <w:r>
              <w:rPr>
                <w:rFonts w:ascii="Calibri" w:hAnsi="Calibri" w:eastAsia="宋体"/>
                <w:b w:val="0"/>
                <w:color w:val="auto"/>
                <w:sz w:val="18"/>
              </w:rPr>
              <w:t>15%</w:t>
            </w:r>
          </w:p>
        </w:tc>
        <w:tc>
          <w:tcPr>
            <w:tcW w:w="2098" w:type="dxa"/>
          </w:tcPr>
          <w:p w14:paraId="63200EDA">
            <w:pPr>
              <w:rPr>
                <w:color w:val="auto"/>
              </w:rPr>
            </w:pPr>
            <w:r>
              <w:rPr>
                <w:rFonts w:ascii="Calibri" w:hAnsi="Calibri" w:eastAsia="宋体"/>
                <w:b w:val="0"/>
                <w:color w:val="auto"/>
                <w:sz w:val="18"/>
              </w:rPr>
              <w:t>2：湄洲湾港可支撑总装与运维</w:t>
            </w:r>
          </w:p>
        </w:tc>
        <w:tc>
          <w:tcPr>
            <w:tcW w:w="2041" w:type="dxa"/>
          </w:tcPr>
          <w:p w14:paraId="0DB41560">
            <w:pPr>
              <w:rPr>
                <w:color w:val="auto"/>
              </w:rPr>
            </w:pPr>
            <w:r>
              <w:rPr>
                <w:rFonts w:ascii="Calibri" w:hAnsi="Calibri" w:eastAsia="宋体"/>
                <w:b w:val="0"/>
                <w:color w:val="auto"/>
                <w:sz w:val="18"/>
              </w:rPr>
              <w:t>3：大湾区港口、制造与海工资源密集</w:t>
            </w:r>
          </w:p>
        </w:tc>
        <w:tc>
          <w:tcPr>
            <w:tcW w:w="2041" w:type="dxa"/>
          </w:tcPr>
          <w:p w14:paraId="3F553DE3">
            <w:pPr>
              <w:rPr>
                <w:color w:val="auto"/>
              </w:rPr>
            </w:pPr>
            <w:r>
              <w:rPr>
                <w:rFonts w:ascii="Calibri" w:hAnsi="Calibri" w:eastAsia="宋体"/>
                <w:b w:val="0"/>
                <w:color w:val="auto"/>
                <w:sz w:val="18"/>
              </w:rPr>
              <w:t>3：港群与规模化建设经验成熟</w:t>
            </w:r>
          </w:p>
        </w:tc>
      </w:tr>
      <w:tr w14:paraId="3BCEE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dxa"/>
          </w:tcPr>
          <w:p w14:paraId="532733E1">
            <w:pPr>
              <w:jc w:val="center"/>
              <w:rPr>
                <w:color w:val="auto"/>
              </w:rPr>
            </w:pPr>
            <w:r>
              <w:rPr>
                <w:rFonts w:ascii="Calibri" w:hAnsi="Calibri" w:eastAsia="宋体"/>
                <w:b w:val="0"/>
                <w:color w:val="auto"/>
                <w:sz w:val="18"/>
              </w:rPr>
              <w:t>电力、柔性负荷与消纳</w:t>
            </w:r>
          </w:p>
        </w:tc>
        <w:tc>
          <w:tcPr>
            <w:tcW w:w="624" w:type="dxa"/>
          </w:tcPr>
          <w:p w14:paraId="619FEC15">
            <w:pPr>
              <w:rPr>
                <w:color w:val="auto"/>
              </w:rPr>
            </w:pPr>
            <w:r>
              <w:rPr>
                <w:rFonts w:ascii="Calibri" w:hAnsi="Calibri" w:eastAsia="宋体"/>
                <w:b w:val="0"/>
                <w:color w:val="auto"/>
                <w:sz w:val="18"/>
              </w:rPr>
              <w:t>15%</w:t>
            </w:r>
          </w:p>
        </w:tc>
        <w:tc>
          <w:tcPr>
            <w:tcW w:w="2098" w:type="dxa"/>
          </w:tcPr>
          <w:p w14:paraId="0513C9C3">
            <w:pPr>
              <w:rPr>
                <w:color w:val="auto"/>
              </w:rPr>
            </w:pPr>
            <w:r>
              <w:rPr>
                <w:rFonts w:ascii="Calibri" w:hAnsi="Calibri" w:eastAsia="宋体"/>
                <w:b w:val="0"/>
                <w:color w:val="auto"/>
                <w:sz w:val="18"/>
              </w:rPr>
              <w:t>2：临港产业、港航与海洋场景可培育</w:t>
            </w:r>
          </w:p>
        </w:tc>
        <w:tc>
          <w:tcPr>
            <w:tcW w:w="2041" w:type="dxa"/>
          </w:tcPr>
          <w:p w14:paraId="54C0DE72">
            <w:pPr>
              <w:rPr>
                <w:color w:val="auto"/>
              </w:rPr>
            </w:pPr>
            <w:r>
              <w:rPr>
                <w:rFonts w:ascii="Calibri" w:hAnsi="Calibri" w:eastAsia="宋体"/>
                <w:b w:val="0"/>
                <w:color w:val="auto"/>
                <w:sz w:val="18"/>
              </w:rPr>
              <w:t>3：港航、制造、通信与客户密度高</w:t>
            </w:r>
          </w:p>
        </w:tc>
        <w:tc>
          <w:tcPr>
            <w:tcW w:w="2041" w:type="dxa"/>
          </w:tcPr>
          <w:p w14:paraId="63A02797">
            <w:pPr>
              <w:rPr>
                <w:color w:val="auto"/>
              </w:rPr>
            </w:pPr>
            <w:r>
              <w:rPr>
                <w:rFonts w:ascii="Calibri" w:hAnsi="Calibri" w:eastAsia="宋体"/>
                <w:b w:val="0"/>
                <w:color w:val="auto"/>
                <w:sz w:val="18"/>
              </w:rPr>
              <w:t>2：港口、工业负荷与海洋服务基础较好</w:t>
            </w:r>
          </w:p>
        </w:tc>
      </w:tr>
      <w:tr w14:paraId="3708E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dxa"/>
          </w:tcPr>
          <w:p w14:paraId="5E664540">
            <w:pPr>
              <w:jc w:val="center"/>
              <w:rPr>
                <w:color w:val="auto"/>
              </w:rPr>
            </w:pPr>
            <w:r>
              <w:rPr>
                <w:rFonts w:ascii="Calibri" w:hAnsi="Calibri" w:eastAsia="宋体"/>
                <w:b w:val="0"/>
                <w:color w:val="auto"/>
                <w:sz w:val="18"/>
              </w:rPr>
              <w:t>算力与通信条件</w:t>
            </w:r>
          </w:p>
        </w:tc>
        <w:tc>
          <w:tcPr>
            <w:tcW w:w="624" w:type="dxa"/>
          </w:tcPr>
          <w:p w14:paraId="05241CF2">
            <w:pPr>
              <w:rPr>
                <w:color w:val="auto"/>
              </w:rPr>
            </w:pPr>
            <w:r>
              <w:rPr>
                <w:rFonts w:ascii="Calibri" w:hAnsi="Calibri" w:eastAsia="宋体"/>
                <w:b w:val="0"/>
                <w:color w:val="auto"/>
                <w:sz w:val="18"/>
              </w:rPr>
              <w:t>10%</w:t>
            </w:r>
          </w:p>
        </w:tc>
        <w:tc>
          <w:tcPr>
            <w:tcW w:w="2098" w:type="dxa"/>
          </w:tcPr>
          <w:p w14:paraId="406640D8">
            <w:pPr>
              <w:rPr>
                <w:color w:val="auto"/>
              </w:rPr>
            </w:pPr>
            <w:r>
              <w:rPr>
                <w:rFonts w:ascii="Calibri" w:hAnsi="Calibri" w:eastAsia="宋体"/>
                <w:b w:val="0"/>
                <w:color w:val="auto"/>
                <w:sz w:val="18"/>
              </w:rPr>
              <w:t>2：可承接沿海城市非实时业务</w:t>
            </w:r>
          </w:p>
        </w:tc>
        <w:tc>
          <w:tcPr>
            <w:tcW w:w="2041" w:type="dxa"/>
          </w:tcPr>
          <w:p w14:paraId="3B2B1DD2">
            <w:pPr>
              <w:rPr>
                <w:color w:val="auto"/>
              </w:rPr>
            </w:pPr>
            <w:r>
              <w:rPr>
                <w:rFonts w:ascii="Calibri" w:hAnsi="Calibri" w:eastAsia="宋体"/>
                <w:b w:val="0"/>
                <w:color w:val="auto"/>
                <w:sz w:val="18"/>
              </w:rPr>
              <w:t>3：客户、网络与算力需求密集</w:t>
            </w:r>
          </w:p>
        </w:tc>
        <w:tc>
          <w:tcPr>
            <w:tcW w:w="2041" w:type="dxa"/>
          </w:tcPr>
          <w:p w14:paraId="2C30EBF0">
            <w:pPr>
              <w:rPr>
                <w:color w:val="auto"/>
              </w:rPr>
            </w:pPr>
            <w:r>
              <w:rPr>
                <w:rFonts w:ascii="Calibri" w:hAnsi="Calibri" w:eastAsia="宋体"/>
                <w:b w:val="0"/>
                <w:color w:val="auto"/>
                <w:sz w:val="18"/>
              </w:rPr>
              <w:t>2：城市群与工业数字化需求</w:t>
            </w:r>
          </w:p>
        </w:tc>
      </w:tr>
      <w:tr w14:paraId="524A0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dxa"/>
          </w:tcPr>
          <w:p w14:paraId="1342FA99">
            <w:pPr>
              <w:jc w:val="center"/>
              <w:rPr>
                <w:color w:val="auto"/>
              </w:rPr>
            </w:pPr>
            <w:r>
              <w:rPr>
                <w:rFonts w:ascii="Calibri" w:hAnsi="Calibri" w:eastAsia="宋体"/>
                <w:b w:val="0"/>
                <w:color w:val="auto"/>
                <w:sz w:val="18"/>
              </w:rPr>
              <w:t>审批与扩展空间</w:t>
            </w:r>
          </w:p>
        </w:tc>
        <w:tc>
          <w:tcPr>
            <w:tcW w:w="624" w:type="dxa"/>
          </w:tcPr>
          <w:p w14:paraId="5C65ED0A">
            <w:pPr>
              <w:rPr>
                <w:color w:val="auto"/>
              </w:rPr>
            </w:pPr>
            <w:r>
              <w:rPr>
                <w:rFonts w:ascii="Calibri" w:hAnsi="Calibri" w:eastAsia="宋体"/>
                <w:b w:val="0"/>
                <w:color w:val="auto"/>
                <w:sz w:val="18"/>
              </w:rPr>
              <w:t>15%</w:t>
            </w:r>
          </w:p>
        </w:tc>
        <w:tc>
          <w:tcPr>
            <w:tcW w:w="2098" w:type="dxa"/>
          </w:tcPr>
          <w:p w14:paraId="0667ED8E">
            <w:pPr>
              <w:rPr>
                <w:color w:val="auto"/>
              </w:rPr>
            </w:pPr>
            <w:r>
              <w:rPr>
                <w:rFonts w:ascii="Calibri" w:hAnsi="Calibri" w:eastAsia="宋体"/>
                <w:b w:val="0"/>
                <w:color w:val="auto"/>
                <w:sz w:val="18"/>
              </w:rPr>
              <w:t>2：有项目基础，用海冲突仍需协调</w:t>
            </w:r>
          </w:p>
        </w:tc>
        <w:tc>
          <w:tcPr>
            <w:tcW w:w="2041" w:type="dxa"/>
          </w:tcPr>
          <w:p w14:paraId="0A116ADE">
            <w:pPr>
              <w:rPr>
                <w:color w:val="auto"/>
              </w:rPr>
            </w:pPr>
            <w:r>
              <w:rPr>
                <w:rFonts w:ascii="Calibri" w:hAnsi="Calibri" w:eastAsia="宋体"/>
                <w:b w:val="0"/>
                <w:color w:val="auto"/>
                <w:sz w:val="18"/>
              </w:rPr>
              <w:t>1：航道、生态与海域利用强度约束较多</w:t>
            </w:r>
          </w:p>
        </w:tc>
        <w:tc>
          <w:tcPr>
            <w:tcW w:w="2041" w:type="dxa"/>
          </w:tcPr>
          <w:p w14:paraId="11AA47AD">
            <w:pPr>
              <w:rPr>
                <w:color w:val="auto"/>
              </w:rPr>
            </w:pPr>
            <w:r>
              <w:rPr>
                <w:rFonts w:ascii="Calibri" w:hAnsi="Calibri" w:eastAsia="宋体"/>
                <w:b w:val="0"/>
                <w:color w:val="auto"/>
                <w:sz w:val="18"/>
              </w:rPr>
              <w:t>2：审批与施工经验成熟，外海扩展待论证</w:t>
            </w:r>
          </w:p>
        </w:tc>
      </w:tr>
      <w:tr w14:paraId="07EB7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dxa"/>
          </w:tcPr>
          <w:p w14:paraId="016B6205">
            <w:pPr>
              <w:jc w:val="center"/>
              <w:rPr>
                <w:color w:val="auto"/>
              </w:rPr>
            </w:pPr>
            <w:r>
              <w:rPr>
                <w:rFonts w:ascii="Calibri" w:hAnsi="Calibri" w:eastAsia="宋体"/>
                <w:b w:val="0"/>
                <w:color w:val="auto"/>
                <w:sz w:val="18"/>
              </w:rPr>
              <w:t>加权总分</w:t>
            </w:r>
          </w:p>
        </w:tc>
        <w:tc>
          <w:tcPr>
            <w:tcW w:w="624" w:type="dxa"/>
          </w:tcPr>
          <w:p w14:paraId="14940D6A">
            <w:pPr>
              <w:rPr>
                <w:color w:val="auto"/>
              </w:rPr>
            </w:pPr>
            <w:r>
              <w:rPr>
                <w:rFonts w:ascii="Calibri" w:hAnsi="Calibri" w:eastAsia="宋体"/>
                <w:b w:val="0"/>
                <w:color w:val="auto"/>
                <w:sz w:val="18"/>
              </w:rPr>
              <w:t>—</w:t>
            </w:r>
          </w:p>
        </w:tc>
        <w:tc>
          <w:tcPr>
            <w:tcW w:w="2098" w:type="dxa"/>
          </w:tcPr>
          <w:p w14:paraId="7B1348A0">
            <w:pPr>
              <w:rPr>
                <w:color w:val="auto"/>
              </w:rPr>
            </w:pPr>
            <w:r>
              <w:rPr>
                <w:rFonts w:ascii="Calibri" w:hAnsi="Calibri" w:eastAsia="宋体"/>
                <w:b w:val="0"/>
                <w:color w:val="auto"/>
                <w:sz w:val="18"/>
              </w:rPr>
              <w:t>245</w:t>
            </w:r>
          </w:p>
        </w:tc>
        <w:tc>
          <w:tcPr>
            <w:tcW w:w="2041" w:type="dxa"/>
          </w:tcPr>
          <w:p w14:paraId="7F854F7F">
            <w:pPr>
              <w:rPr>
                <w:color w:val="auto"/>
              </w:rPr>
            </w:pPr>
            <w:r>
              <w:rPr>
                <w:rFonts w:ascii="Calibri" w:hAnsi="Calibri" w:eastAsia="宋体"/>
                <w:b w:val="0"/>
                <w:color w:val="auto"/>
                <w:sz w:val="18"/>
              </w:rPr>
              <w:t>225</w:t>
            </w:r>
          </w:p>
        </w:tc>
        <w:tc>
          <w:tcPr>
            <w:tcW w:w="2041" w:type="dxa"/>
          </w:tcPr>
          <w:p w14:paraId="1AC4E622">
            <w:pPr>
              <w:rPr>
                <w:color w:val="auto"/>
              </w:rPr>
            </w:pPr>
            <w:r>
              <w:rPr>
                <w:rFonts w:ascii="Calibri" w:hAnsi="Calibri" w:eastAsia="宋体"/>
                <w:b w:val="0"/>
                <w:color w:val="auto"/>
                <w:sz w:val="18"/>
              </w:rPr>
              <w:t>220</w:t>
            </w:r>
          </w:p>
        </w:tc>
      </w:tr>
      <w:tr w14:paraId="40E01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dxa"/>
          </w:tcPr>
          <w:p w14:paraId="7EB2AA82">
            <w:pPr>
              <w:jc w:val="center"/>
              <w:rPr>
                <w:color w:val="auto"/>
              </w:rPr>
            </w:pPr>
            <w:r>
              <w:rPr>
                <w:rFonts w:ascii="Calibri" w:hAnsi="Calibri" w:eastAsia="宋体"/>
                <w:b w:val="0"/>
                <w:color w:val="auto"/>
                <w:sz w:val="18"/>
              </w:rPr>
              <w:t>初步定位</w:t>
            </w:r>
          </w:p>
        </w:tc>
        <w:tc>
          <w:tcPr>
            <w:tcW w:w="624" w:type="dxa"/>
          </w:tcPr>
          <w:p w14:paraId="5F37066E">
            <w:pPr>
              <w:rPr>
                <w:color w:val="auto"/>
              </w:rPr>
            </w:pPr>
            <w:r>
              <w:rPr>
                <w:rFonts w:ascii="Calibri" w:hAnsi="Calibri" w:eastAsia="宋体"/>
                <w:b w:val="0"/>
                <w:color w:val="auto"/>
                <w:sz w:val="18"/>
              </w:rPr>
              <w:t>—</w:t>
            </w:r>
          </w:p>
        </w:tc>
        <w:tc>
          <w:tcPr>
            <w:tcW w:w="2098" w:type="dxa"/>
          </w:tcPr>
          <w:p w14:paraId="722B0041">
            <w:pPr>
              <w:rPr>
                <w:color w:val="auto"/>
              </w:rPr>
            </w:pPr>
            <w:r>
              <w:rPr>
                <w:rFonts w:ascii="Calibri" w:hAnsi="Calibri" w:eastAsia="宋体"/>
                <w:b w:val="0"/>
                <w:color w:val="auto"/>
                <w:sz w:val="18"/>
              </w:rPr>
              <w:t>技术示范首选</w:t>
            </w:r>
          </w:p>
        </w:tc>
        <w:tc>
          <w:tcPr>
            <w:tcW w:w="2041" w:type="dxa"/>
          </w:tcPr>
          <w:p w14:paraId="721F6A03">
            <w:pPr>
              <w:rPr>
                <w:color w:val="auto"/>
              </w:rPr>
            </w:pPr>
            <w:r>
              <w:rPr>
                <w:rFonts w:ascii="Calibri" w:hAnsi="Calibri" w:eastAsia="宋体"/>
                <w:b w:val="0"/>
                <w:color w:val="auto"/>
                <w:sz w:val="18"/>
              </w:rPr>
              <w:t>商业验证备选</w:t>
            </w:r>
          </w:p>
        </w:tc>
        <w:tc>
          <w:tcPr>
            <w:tcW w:w="2041" w:type="dxa"/>
          </w:tcPr>
          <w:p w14:paraId="2CF258A6">
            <w:pPr>
              <w:rPr>
                <w:color w:val="auto"/>
              </w:rPr>
            </w:pPr>
            <w:r>
              <w:rPr>
                <w:rFonts w:ascii="Calibri" w:hAnsi="Calibri" w:eastAsia="宋体"/>
                <w:b w:val="0"/>
                <w:color w:val="auto"/>
                <w:sz w:val="18"/>
              </w:rPr>
              <w:t>北方复制参照</w:t>
            </w:r>
          </w:p>
        </w:tc>
      </w:tr>
    </w:tbl>
    <w:p w14:paraId="1B55770A">
      <w:pPr>
        <w:rPr>
          <w:color w:val="auto"/>
        </w:rPr>
      </w:pPr>
      <w:r>
        <w:rPr>
          <w:color w:val="auto"/>
        </w:rPr>
        <w:t>注：评分为概念级（3=强、2=较强、1=弱）；</w:t>
      </w:r>
      <w:r>
        <w:rPr>
          <w:rFonts w:hint="eastAsia" w:eastAsia="宋体"/>
          <w:color w:val="auto"/>
          <w:lang w:val="en-US" w:eastAsia="zh-CN"/>
        </w:rPr>
        <w:t>实际选址</w:t>
      </w:r>
      <w:r>
        <w:rPr>
          <w:color w:val="auto"/>
        </w:rPr>
        <w:t>待预可研阶段校准。</w:t>
      </w:r>
    </w:p>
    <w:p w14:paraId="24632956">
      <w:pPr>
        <w:jc w:val="center"/>
        <w:rPr>
          <w:color w:val="auto"/>
        </w:rPr>
      </w:pPr>
      <w:r>
        <w:rPr>
          <w:color w:val="auto"/>
        </w:rPr>
        <w:drawing>
          <wp:inline distT="0" distB="0" distL="114300" distR="114300">
            <wp:extent cx="4052570" cy="3665220"/>
            <wp:effectExtent l="0" t="0" r="1143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4052570" cy="3665220"/>
                    </a:xfrm>
                    <a:prstGeom prst="rect">
                      <a:avLst/>
                    </a:prstGeom>
                  </pic:spPr>
                </pic:pic>
              </a:graphicData>
            </a:graphic>
          </wp:inline>
        </w:drawing>
      </w:r>
    </w:p>
    <w:p w14:paraId="02536FF0">
      <w:pPr>
        <w:spacing w:before="80" w:after="80" w:line="264" w:lineRule="auto"/>
        <w:jc w:val="center"/>
        <w:rPr>
          <w:color w:val="auto"/>
        </w:rPr>
      </w:pPr>
      <w:r>
        <w:rPr>
          <w:rFonts w:ascii="Calibri" w:hAnsi="Calibri" w:eastAsia="宋体"/>
          <w:b/>
          <w:color w:val="auto"/>
          <w:sz w:val="20"/>
        </w:rPr>
        <w:t>图6-8</w:t>
      </w:r>
      <w:r>
        <w:rPr>
          <w:rFonts w:hint="eastAsia" w:ascii="Calibri" w:hAnsi="Calibri" w:eastAsia="宋体"/>
          <w:b/>
          <w:color w:val="auto"/>
          <w:sz w:val="20"/>
          <w:lang w:val="en-US" w:eastAsia="zh-CN"/>
        </w:rPr>
        <w:t xml:space="preserve"> </w:t>
      </w:r>
      <w:r>
        <w:rPr>
          <w:rFonts w:ascii="Calibri" w:hAnsi="Calibri" w:eastAsia="宋体"/>
          <w:b/>
          <w:color w:val="auto"/>
          <w:sz w:val="20"/>
        </w:rPr>
        <w:t>候选场址多准则决策分析对比（加权总分：福建 245 &gt; 广东 225 &gt; 山东 220）</w:t>
      </w:r>
    </w:p>
    <w:p w14:paraId="35CA6030">
      <w:pPr>
        <w:rPr>
          <w:color w:val="auto"/>
        </w:rPr>
      </w:pPr>
      <w:r>
        <w:rPr>
          <w:color w:val="auto"/>
        </w:rPr>
        <w:t>示范验收即规模推广闸门六项证据落地（量化口径与停止条件见表 6-3、6.4.3）：可用率、响应时间与交付质量达标，连续运行数据、成本台账与合同执行记录经独立第三方审核；与第五章仿真结果的偏差须可归因于资源波动、设备性能或模型简化，而非系统缺陷。</w:t>
      </w:r>
    </w:p>
    <w:p w14:paraId="4B9E70D7">
      <w:pPr>
        <w:pStyle w:val="4"/>
        <w:rPr>
          <w:color w:val="auto"/>
        </w:rPr>
      </w:pPr>
      <w:r>
        <w:rPr>
          <w:color w:val="auto"/>
        </w:rPr>
        <w:t>6.4.3 风险分级、停止条件与退出机制</w:t>
      </w:r>
    </w:p>
    <w:p w14:paraId="7A24A9F2">
      <w:pPr>
        <w:rPr>
          <w:color w:val="auto"/>
        </w:rPr>
      </w:pPr>
      <w:r>
        <w:rPr>
          <w:color w:val="auto"/>
        </w:rPr>
        <w:t>风险按可处理方式分三级：可定价风险（合同、保险可覆盖）进入基准情景；需购买证据的风险（技术、海工、市场）由包 A/B 风险资本覆盖（见 6.1.2）；不可接受风险（重大安全缺陷、依赖未批文件的政策收入）直接否决。</w:t>
      </w:r>
    </w:p>
    <w:p w14:paraId="7F0E7B38">
      <w:pPr>
        <w:rPr>
          <w:color w:val="auto"/>
        </w:rPr>
      </w:pPr>
      <w:r>
        <w:rPr>
          <w:color w:val="auto"/>
        </w:rPr>
        <w:t>示范期任一触发即降级、缩减或停止：G1 未通过或安全缺陷未闭环、正式报价超预算且调整后无法覆盖安全运维与偿债、发生两次及以上严重安全事件、关键客户未签署最低承购。</w:t>
      </w:r>
    </w:p>
    <w:p w14:paraId="3AE1E987">
      <w:pPr>
        <w:rPr>
          <w:color w:val="auto"/>
        </w:rPr>
      </w:pPr>
      <w:r>
        <w:rPr>
          <w:color w:val="auto"/>
        </w:rPr>
        <w:t>退出与经济处理：示范未通过或触发停止条件时，可复用资产（接口、计量、通信等）移交既有业主或转为测试平台，不可复用部分计提减值；退役与处置成本自 G2 起以准备金形式计提，避免残值风险转嫁后续阶段。</w:t>
      </w:r>
    </w:p>
    <w:p w14:paraId="50FF4B12">
      <w:pPr>
        <w:pStyle w:val="4"/>
        <w:rPr>
          <w:color w:val="auto"/>
        </w:rPr>
      </w:pPr>
      <w:r>
        <w:rPr>
          <w:color w:val="auto"/>
        </w:rPr>
        <w:t>6.4.4 实施路径、交付物与预期成效</w:t>
      </w:r>
    </w:p>
    <w:p w14:paraId="5686A445">
      <w:pPr>
        <w:rPr>
          <w:color w:val="auto"/>
        </w:rPr>
      </w:pPr>
      <w:r>
        <w:rPr>
          <w:color w:val="auto"/>
        </w:rPr>
        <w:t>实施顺序与商业决策同步：冻结场景与责任边界→锁定首批客户与交付方式→陆上联调与安全审查→海上安装→连续运行与成本台账→规模推广闸门评审后决定扩容；设备采购前完成 G0 定型，海上安装前完成 G1 联调。</w:t>
      </w:r>
    </w:p>
    <w:p w14:paraId="74EEF6DF">
      <w:pPr>
        <w:rPr>
          <w:color w:val="auto"/>
        </w:rPr>
      </w:pPr>
      <w:r>
        <w:rPr>
          <w:color w:val="auto"/>
        </w:rPr>
        <w:t>示范工程的首要交付物是“技术证据+合同模板+成本台账+计量MRV+标准设计包”五件套，与 6.3.3 五类产品一一对应。</w:t>
      </w:r>
    </w:p>
    <w:p w14:paraId="55AB64FF">
      <w:pPr>
        <w:rPr>
          <w:color w:val="auto"/>
        </w:rPr>
      </w:pPr>
      <w:r>
        <w:rPr>
          <w:color w:val="auto"/>
        </w:rPr>
        <w:t>每条关键结论标注证据来源等级（公开资料/仿真/实测/合同），运行数据、运维工单、客户签收、MRV 与成本台账经独立第三方审核，全程可追溯。</w:t>
      </w:r>
    </w:p>
    <w:p w14:paraId="1C685692">
      <w:pPr>
        <w:rPr>
          <w:color w:val="auto"/>
        </w:rPr>
      </w:pPr>
      <w:r>
        <w:rPr>
          <w:color w:val="auto"/>
        </w:rPr>
        <w:t>预期成效：政策工具降低首期资本压力与收入不确定性；完整台风季数据与标准设计包形成可复制工程基线；装备、共享设施、标准与数据服务持续沉淀，培育路径向“深远海绿电多形态转化与离岸交付产业”延伸，收益扩展到产业生态（见 6.3）。</w:t>
      </w:r>
    </w:p>
    <w:p w14:paraId="05F032B1">
      <w:pPr>
        <w:pStyle w:val="3"/>
        <w:rPr>
          <w:b w:val="0"/>
          <w:bCs w:val="0"/>
          <w:color w:val="auto"/>
        </w:rPr>
      </w:pPr>
      <w:r>
        <w:rPr>
          <w:color w:val="auto"/>
        </w:rPr>
        <w:t>本章小结</w:t>
      </w:r>
    </w:p>
    <w:p w14:paraId="760C1EEE">
      <w:pPr>
        <w:rPr>
          <w:color w:val="auto"/>
        </w:rPr>
      </w:pPr>
      <w:r>
        <w:rPr>
          <w:color w:val="auto"/>
        </w:rPr>
        <w:t>本章以“技术—经济—政策—风险”四维框架，论证“深远海绿电多形态转化与离岸交付产业”从示范项目走向产业培育的可行路径：G0–G3 分级验证与投资包安排解决落地，三条增收路径与资金流分配实现“少投、多收、稳收、控险”，产业链协同把收益扩展到产业生态，最终形成按“示范验证—规模推广—系统输出”分阶段推进的产业培育路径。</w:t>
      </w:r>
      <w:bookmarkStart w:id="0" w:name="_GoBack"/>
      <w:bookmarkEnd w:id="0"/>
    </w:p>
    <w:p w14:paraId="32149C61">
      <w:pPr>
        <w:pStyle w:val="3"/>
        <w:rPr>
          <w:color w:val="auto"/>
        </w:rPr>
      </w:pPr>
      <w:r>
        <w:rPr>
          <w:color w:val="auto"/>
        </w:rPr>
        <w:t>参考文献</w:t>
      </w:r>
    </w:p>
    <w:p w14:paraId="41E442C5">
      <w:pPr>
        <w:rPr>
          <w:color w:val="auto"/>
        </w:rPr>
      </w:pPr>
      <w:r>
        <w:rPr>
          <w:color w:val="auto"/>
        </w:rPr>
        <w:t>[1] 蓝海枢纽项目组. 企业访谈资料：海上风电制氢、合成氨及氢能制储技术交流记录[Z]. 2026-07.</w:t>
      </w:r>
    </w:p>
    <w:p w14:paraId="694B3CB4">
      <w:pPr>
        <w:rPr>
          <w:color w:val="auto"/>
        </w:rPr>
      </w:pPr>
      <w:r>
        <w:rPr>
          <w:color w:val="auto"/>
        </w:rPr>
        <w:t>[2] 法国电力集团. 江苏东台海上风电[EB/OL]. [2026-07-31].</w:t>
      </w:r>
    </w:p>
    <w:p w14:paraId="038680E5">
      <w:pPr>
        <w:rPr>
          <w:color w:val="auto"/>
        </w:rPr>
      </w:pPr>
      <w:r>
        <w:rPr>
          <w:color w:val="auto"/>
        </w:rPr>
        <w:t>[3] 国家能源集团. 【重大工程】宁东氢碳减排示范项目光伏并网[EB/OL]. 2023-06-27[2026-07-31].</w:t>
      </w:r>
    </w:p>
    <w:p w14:paraId="1ABE7667">
      <w:pPr>
        <w:rPr>
          <w:color w:val="auto"/>
        </w:rPr>
      </w:pPr>
      <w:r>
        <w:rPr>
          <w:color w:val="auto"/>
        </w:rPr>
        <w:t>[4] 国家能源集团. 全球首座风渔融合浮式平台投产[EB/OL]. 2024-06-28[2026-07-31].</w:t>
      </w:r>
    </w:p>
    <w:p w14:paraId="0F33829F">
      <w:pPr>
        <w:rPr>
          <w:color w:val="auto"/>
        </w:rPr>
      </w:pPr>
      <w:r>
        <w:rPr>
          <w:color w:val="auto"/>
        </w:rPr>
        <w:t>[5] 新华社. 浙江（华东）深远海风电母港在温州开工[EB/OL]. 2024-12-27[2026-07-31].</w:t>
      </w:r>
    </w:p>
    <w:p w14:paraId="085DE2EF">
      <w:pPr>
        <w:rPr>
          <w:color w:val="auto"/>
        </w:rPr>
      </w:pPr>
      <w:r>
        <w:rPr>
          <w:color w:val="auto"/>
        </w:rPr>
        <w:t>[6] 中国长江三峡集团有限公司. 战略投资：福建海上风电产业园[EB/OL]. [2026-07-31].</w:t>
      </w:r>
    </w:p>
    <w:p w14:paraId="612E2547">
      <w:pPr>
        <w:rPr>
          <w:color w:val="auto"/>
        </w:rPr>
      </w:pPr>
      <w:r>
        <w:rPr>
          <w:color w:val="auto"/>
        </w:rPr>
        <w:t>[7] 上海市人民政府. 补齐本地化绿色甲醇加注能力短板：10万吨级沪产绿醇项目投产[EB/OL]. 2026-01-02[2026-07-31].</w:t>
      </w:r>
    </w:p>
    <w:p w14:paraId="062ED4C1">
      <w:pPr>
        <w:rPr>
          <w:color w:val="auto"/>
        </w:rPr>
      </w:pPr>
      <w:r>
        <w:rPr>
          <w:color w:val="auto"/>
        </w:rPr>
        <w:t>[8] 上海海事局. 上海洋山港首次开展国产绿色甲醇接卸与加注[EB/OL]. 2025-03-30[2026-07-31].</w:t>
      </w:r>
    </w:p>
    <w:p w14:paraId="27B404DF">
      <w:pPr>
        <w:rPr>
          <w:color w:val="auto"/>
        </w:rPr>
      </w:pPr>
      <w:r>
        <w:rPr>
          <w:color w:val="auto"/>
        </w:rPr>
        <w:t>[9] National Renewable Energy Laboratory. Utility-Scale Battery Storage: 2024 Annual Technology Baseline[EB/OL]. [2026-08-03].</w:t>
      </w:r>
    </w:p>
    <w:p w14:paraId="3014547A">
      <w:pPr>
        <w:rPr>
          <w:color w:val="auto"/>
        </w:rPr>
      </w:pPr>
      <w:r>
        <w:rPr>
          <w:color w:val="auto"/>
        </w:rPr>
        <w:t>[10] National Renewable Energy Laboratory. The Cost of Offshore Wind Energy in the United States From 2025 to 2050[R/OL]. 2024[2026-08-03]. DOI: 10.2172/2433785.</w:t>
      </w:r>
    </w:p>
    <w:p w14:paraId="61D24575">
      <w:pPr>
        <w:rPr>
          <w:color w:val="auto"/>
        </w:rPr>
      </w:pPr>
      <w:r>
        <w:rPr>
          <w:color w:val="auto"/>
        </w:rPr>
        <w:t>[11] International Renewable Energy Agency. Renewable Power Generation Costs in 2024[R/OL]. 2025[2026-08-03].</w:t>
      </w:r>
    </w:p>
    <w:p w14:paraId="61868C25">
      <w:pPr>
        <w:rPr>
          <w:color w:val="auto"/>
        </w:rPr>
      </w:pPr>
      <w:r>
        <w:rPr>
          <w:color w:val="auto"/>
        </w:rPr>
        <w:t>[12] U.S. Department of Energy. Hydrogen Shot: Water Electrolysis Technology Assessment[R/OL]. 2024[2026-08-03].</w:t>
      </w:r>
    </w:p>
    <w:p w14:paraId="56B95974">
      <w:pPr>
        <w:rPr>
          <w:color w:val="auto"/>
        </w:rPr>
      </w:pPr>
      <w:r>
        <w:rPr>
          <w:color w:val="auto"/>
        </w:rPr>
        <w:t>[13] World Bank. Project appraisal document: P1759890[R/OL]. [2026-08-06].</w:t>
      </w:r>
    </w:p>
    <w:p w14:paraId="184B91F8">
      <w:pPr>
        <w:rPr>
          <w:color w:val="auto"/>
        </w:rPr>
      </w:pPr>
      <w:r>
        <w:rPr>
          <w:color w:val="auto"/>
        </w:rPr>
        <w:t>[14] 国家发展改革委, 国家能源局. 关于印发《清洁能源消纳行动计划（2018—2020年）》的通知：发改能源规〔2018〕1575号[EB/OL]. 2018-10-30[2026-08-06].</w:t>
      </w:r>
    </w:p>
    <w:p w14:paraId="7F72936E">
      <w:pPr>
        <w:rPr>
          <w:color w:val="auto"/>
        </w:rPr>
      </w:pPr>
      <w:r>
        <w:rPr>
          <w:color w:val="auto"/>
        </w:rPr>
        <w:t>[15] LIU T, ZHAO Z, TANG W, et al. In-situ direct seawater electrolysis using floating platform in ocean with uncontrollable wave motion[J]. Nature Communications, 2024, 15: 5305. DOI: 10.1038/s41467-024-49639-6.</w:t>
      </w:r>
    </w:p>
    <w:p w14:paraId="5CCD721A">
      <w:pPr>
        <w:rPr>
          <w:color w:val="auto"/>
        </w:rPr>
      </w:pPr>
      <w:r>
        <w:rPr>
          <w:color w:val="auto"/>
        </w:rPr>
        <w:t>[16] 国家发展改革委, 国家能源局. 关于深化新能源上网电价市场化改革 促进新能源高质量发展的通知：发改价格〔2025〕136号[EB/OL]. 2025-01-27[2026-07-31].</w:t>
      </w:r>
    </w:p>
    <w:p w14:paraId="6855BC83">
      <w:pPr>
        <w:rPr>
          <w:color w:val="auto"/>
        </w:rPr>
      </w:pPr>
      <w:r>
        <w:rPr>
          <w:color w:val="auto"/>
        </w:rPr>
        <w:t>[17] 国家发展改革委, 国家能源局. 关于有序推动绿电直连发展有关事项的通知：发改能源〔2025〕650号[EB/OL]. 2025-05-21[2026-07-31].</w:t>
      </w:r>
    </w:p>
    <w:p w14:paraId="779F28CD">
      <w:pPr>
        <w:rPr>
          <w:color w:val="auto"/>
        </w:rPr>
      </w:pPr>
      <w:r>
        <w:rPr>
          <w:color w:val="auto"/>
        </w:rPr>
        <w:t>[18] 国家发展改革委, 国家能源局. 关于有序推动多用户绿电直连发展有关事项的通知：发改能源〔2026〕688号[EB/OL]. 2026-05-20[2026-07-31].</w:t>
      </w:r>
    </w:p>
    <w:p w14:paraId="2BED26E4">
      <w:pPr>
        <w:rPr>
          <w:color w:val="auto"/>
        </w:rPr>
      </w:pPr>
      <w:r>
        <w:rPr>
          <w:color w:val="auto"/>
        </w:rPr>
        <w:t>[19] 国家能源局. 可再生能源绿色电力证书管理实施细则（试行）：国能发资质规〔2025〕107号[EB/OL]. 2026-01-07[2026-07-31].</w:t>
      </w:r>
    </w:p>
    <w:p w14:paraId="3350F31C">
      <w:pPr>
        <w:rPr>
          <w:color w:val="auto"/>
        </w:rPr>
      </w:pPr>
      <w:r>
        <w:rPr>
          <w:color w:val="auto"/>
        </w:rPr>
        <w:t>[20] 国家能源局综合司. 关于组织推进非公共电网可再生能源发电项目绿证核发的通知：国能综通资质〔2026〕60号[EB/OL]. 2026-06-23[2026-08-03].</w:t>
      </w:r>
    </w:p>
    <w:p w14:paraId="55A41DBA">
      <w:pPr>
        <w:rPr>
          <w:color w:val="auto"/>
        </w:rPr>
      </w:pPr>
      <w:r>
        <w:rPr>
          <w:color w:val="auto"/>
        </w:rPr>
        <w:t>[21] 国家能源局综合司, 生态环境部办公厅. 关于做好可再生能源绿色电力证书与自愿减排市场衔接工作的通知：国能综通新能〔2024〕124号[EB/OL]. 2024-08-26[2026-07-31].</w:t>
      </w:r>
    </w:p>
    <w:p w14:paraId="442B2256">
      <w:pPr>
        <w:rPr>
          <w:color w:val="auto"/>
        </w:rPr>
      </w:pPr>
      <w:r>
        <w:rPr>
          <w:color w:val="auto"/>
        </w:rPr>
        <w:t>[22] 国家能源局电力业务资质管理中心. 中国绿色电力证书发展报告（2025）[R/OL]. 2026-05[2026-08-03].</w:t>
      </w:r>
    </w:p>
    <w:p w14:paraId="616F2B40">
      <w:pPr>
        <w:rPr>
          <w:color w:val="auto"/>
        </w:rPr>
      </w:pPr>
      <w:r>
        <w:rPr>
          <w:color w:val="auto"/>
        </w:rPr>
        <w:t>[23] 国家能源局. 2026年3月全国可再生能源绿色电力证书核发及交易数据[EB/OL]. 2026-04-24[2026-08-03].</w:t>
      </w:r>
    </w:p>
    <w:p w14:paraId="34B39E1A">
      <w:pPr>
        <w:rPr>
          <w:color w:val="auto"/>
        </w:rPr>
      </w:pPr>
      <w:r>
        <w:rPr>
          <w:color w:val="auto"/>
        </w:rPr>
        <w:t>[24] 生态环境部. 温室气体自愿减排项目方法学 并网海上风力发电（CCER—01—002—V01）[R/OL]. 2023[2026-08-03].</w:t>
      </w:r>
    </w:p>
    <w:p w14:paraId="032C2D98">
      <w:pPr>
        <w:rPr>
          <w:color w:val="auto"/>
        </w:rPr>
      </w:pPr>
      <w:r>
        <w:rPr>
          <w:color w:val="auto"/>
        </w:rPr>
        <w:t>[25] 全国温室气体自愿减排交易系统. 2025年全国温室气体自愿减排交易市场运行情况一览[EB/OL]. 2025-12-31[2026-08-03].</w:t>
      </w:r>
    </w:p>
    <w:p w14:paraId="3AA3B8E9">
      <w:pPr>
        <w:rPr>
          <w:color w:val="auto"/>
        </w:rPr>
      </w:pPr>
      <w:r>
        <w:rPr>
          <w:color w:val="auto"/>
        </w:rPr>
        <w:t>[26] 财政部, 海关总署, 税务总局. 关于调整风力发电等增值税政策的公告：2025年第10号[EB/OL]. 2025-10-17[2026-07-31].</w:t>
      </w:r>
    </w:p>
    <w:p w14:paraId="4CF5839A">
      <w:pPr>
        <w:rPr>
          <w:color w:val="auto"/>
        </w:rPr>
      </w:pPr>
      <w:r>
        <w:rPr>
          <w:color w:val="auto"/>
        </w:rPr>
        <w:t>[27] 国家能源局综合司. 关于组织开展能源领域氢能试点工作的通知：国能综通科技〔2025〕91号[EB/OL]. 2025-06-04[2026-07-31].</w:t>
      </w:r>
    </w:p>
    <w:p w14:paraId="5552EB09">
      <w:pPr>
        <w:rPr>
          <w:color w:val="auto"/>
        </w:rPr>
      </w:pPr>
      <w:r>
        <w:rPr>
          <w:color w:val="auto"/>
        </w:rPr>
        <w:t>[28] 国家能源局. 国家能源局公告2025年第6号：能源领域氢能试点名单（第一批）[EB/OL]. 2025-12-04[2026-07-31].</w:t>
      </w:r>
    </w:p>
    <w:p w14:paraId="4AA05F96">
      <w:pPr>
        <w:rPr>
          <w:color w:val="auto"/>
        </w:rPr>
      </w:pPr>
      <w:r>
        <w:rPr>
          <w:color w:val="auto"/>
        </w:rPr>
        <w:t>[29] 国家发展改革委, 工业和信息化部, 国家能源局, 国家数据局. 数据中心绿色低碳发展专项行动计划：发改环资〔2024〕970号[EB/OL]. 2024-07-03[2026-07-31].</w:t>
      </w:r>
    </w:p>
    <w:p w14:paraId="1ADB6D55">
      <w:pPr>
        <w:rPr>
          <w:color w:val="auto"/>
        </w:rPr>
      </w:pPr>
      <w:r>
        <w:rPr>
          <w:color w:val="auto"/>
        </w:rPr>
        <w:t>[30] 国家数据局. 体系化推动算力电力协同 持续提升数据中心绿电供给水平[EB/OL]. 2025-03-18[2026-07-31].</w:t>
      </w:r>
    </w:p>
    <w:p w14:paraId="274E7CD6">
      <w:pPr>
        <w:rPr>
          <w:color w:val="auto"/>
        </w:rPr>
      </w:pPr>
      <w:r>
        <w:rPr>
          <w:color w:val="auto"/>
        </w:rPr>
        <w:t>[31] 交通运输部. 船舶载运危险货物安全监督管理规定：交通运输部令2024年第14号[EB/OL]. 2024-12-31[2026-07-31].</w:t>
      </w:r>
    </w:p>
    <w:p w14:paraId="5BF24C45">
      <w:pPr>
        <w:rPr>
          <w:color w:val="auto"/>
        </w:rPr>
      </w:pPr>
      <w:r>
        <w:rPr>
          <w:color w:val="auto"/>
        </w:rPr>
        <w:t>[32] 海南省人民政府. 海南创新推行海域立体分层设权，解锁立体用海新模式[EB/OL]. 2025-07-27[2026-08-06].</w:t>
      </w:r>
    </w:p>
    <w:p w14:paraId="2A5F6660">
      <w:pPr>
        <w:rPr>
          <w:color w:val="auto"/>
        </w:rPr>
      </w:pPr>
      <w:r>
        <w:rPr>
          <w:color w:val="auto"/>
        </w:rPr>
        <w:t>[33] 福建省自然资源厅. 关于《莆田湄洲湾外海海上风电场项目海域使用论证报告书》的公示[EB/OL]. 2025-03-07[2026-07-31].</w:t>
      </w:r>
    </w:p>
    <w:p w14:paraId="6BBD4440">
      <w:pPr>
        <w:rPr>
          <w:color w:val="auto"/>
        </w:rPr>
      </w:pPr>
      <w:r>
        <w:rPr>
          <w:color w:val="auto"/>
        </w:rPr>
        <w:t>[34] 福建省人民政府（福建省自然资源厅转发）. 福建省人民政府关于莆田南日岛海上风电场一期项目变更用海的批复[EB/OL]. 2026-03-18[2026-08-03].</w:t>
      </w:r>
    </w:p>
    <w:p w14:paraId="2FFA34E5">
      <w:pPr>
        <w:rPr>
          <w:color w:val="auto"/>
        </w:rPr>
      </w:pPr>
      <w:r>
        <w:rPr>
          <w:color w:val="auto"/>
        </w:rPr>
        <w:t>[35] 台山市发展和改革局. 国能江门川岛二海上风电项目社会稳定风险评估——公众参与公示[EB/OL]. 2023-11-24[2026-07-31].</w:t>
      </w:r>
    </w:p>
    <w:p w14:paraId="182D4C6A">
      <w:pPr>
        <w:rPr>
          <w:color w:val="auto"/>
        </w:rPr>
      </w:pPr>
      <w:r>
        <w:rPr>
          <w:color w:val="auto"/>
        </w:rPr>
        <w:t>[36] 国家能源集团. 国家能源集团首个500千伏送出海上风电项目获批接入电网[EB/OL]. 2026-04-20[2026-07-31].</w:t>
      </w:r>
    </w:p>
    <w:p w14:paraId="4281A74A">
      <w:pPr>
        <w:rPr>
          <w:color w:val="auto"/>
        </w:rPr>
      </w:pPr>
      <w:r>
        <w:rPr>
          <w:color w:val="auto"/>
        </w:rPr>
        <w:t>[37] 国务院国资委. 国家能源集团山东B2海上风电项目全容量并网[EB/OL]. 2023-07-07[2026-07-31].</w:t>
      </w:r>
    </w:p>
    <w:sectPr>
      <w:pgSz w:w="12240" w:h="15840"/>
      <w:pgMar w:top="1224" w:right="1440" w:bottom="1224"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仓耳与墨 W02"/>
    <w:panose1 w:val="00000000000000000000"/>
    <w:charset w:val="80"/>
    <w:family w:val="roman"/>
    <w:pitch w:val="default"/>
    <w:sig w:usb0="00000000" w:usb1="00000000" w:usb2="00000010" w:usb3="00000000" w:csb0="00020000" w:csb1="00000000"/>
  </w:font>
  <w:font w:name="仓耳与墨 W02">
    <w:panose1 w:val="02020400000000000000"/>
    <w:charset w:val="80"/>
    <w:family w:val="auto"/>
    <w:pitch w:val="default"/>
    <w:sig w:usb0="80000023" w:usb1="1801004A" w:usb2="00000010" w:usb3="00000000" w:csb0="00020001" w:csb1="0000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2221A7"/>
    <w:rsid w:val="14947A22"/>
    <w:rsid w:val="18A02893"/>
    <w:rsid w:val="18FA4CB8"/>
    <w:rsid w:val="1F647814"/>
    <w:rsid w:val="28BC7EFD"/>
    <w:rsid w:val="2DDA463A"/>
    <w:rsid w:val="303A7B4E"/>
    <w:rsid w:val="357A7C81"/>
    <w:rsid w:val="36B16038"/>
    <w:rsid w:val="36E166BA"/>
    <w:rsid w:val="37BD123B"/>
    <w:rsid w:val="394E045B"/>
    <w:rsid w:val="3D492CDD"/>
    <w:rsid w:val="3E202703"/>
    <w:rsid w:val="3EE43B7A"/>
    <w:rsid w:val="3F374FFA"/>
    <w:rsid w:val="4847114B"/>
    <w:rsid w:val="4D486BB8"/>
    <w:rsid w:val="58943A49"/>
    <w:rsid w:val="65D87C96"/>
    <w:rsid w:val="66995823"/>
    <w:rsid w:val="67820F3F"/>
    <w:rsid w:val="682B40EF"/>
    <w:rsid w:val="70713D48"/>
    <w:rsid w:val="74E213C1"/>
    <w:rsid w:val="7F3047E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 w:line="240" w:lineRule="auto"/>
    </w:pPr>
    <w:rPr>
      <w:rFonts w:ascii="宋体" w:hAnsi="宋体" w:eastAsia="宋体" w:cs="宋体"/>
      <w:sz w:val="30"/>
      <w:szCs w:val="22"/>
      <w:lang w:val="en-US" w:eastAsia="en-US" w:bidi="ar-SA"/>
    </w:rPr>
  </w:style>
  <w:style w:type="paragraph" w:styleId="3">
    <w:name w:val="heading 1"/>
    <w:basedOn w:val="1"/>
    <w:next w:val="1"/>
    <w:link w:val="138"/>
    <w:qFormat/>
    <w:uiPriority w:val="9"/>
    <w:pPr>
      <w:keepNext/>
      <w:keepLines/>
      <w:spacing w:before="200" w:after="0"/>
      <w:outlineLvl w:val="0"/>
    </w:pPr>
    <w:rPr>
      <w:rFonts w:ascii="黑体" w:hAnsi="黑体" w:eastAsia="黑体" w:cs="黑体"/>
      <w:b/>
      <w:bCs/>
      <w:color w:val="376092" w:themeColor="accent1" w:themeShade="BF"/>
      <w:sz w:val="36"/>
      <w:szCs w:val="28"/>
    </w:rPr>
  </w:style>
  <w:style w:type="paragraph" w:styleId="4">
    <w:name w:val="heading 2"/>
    <w:basedOn w:val="1"/>
    <w:next w:val="1"/>
    <w:link w:val="139"/>
    <w:unhideWhenUsed/>
    <w:qFormat/>
    <w:uiPriority w:val="9"/>
    <w:pPr>
      <w:keepNext/>
      <w:keepLines/>
      <w:spacing w:before="60" w:after="0"/>
      <w:outlineLvl w:val="1"/>
    </w:pPr>
    <w:rPr>
      <w:rFonts w:ascii="黑体" w:hAnsi="黑体" w:eastAsia="黑体" w:cs="黑体"/>
      <w:b/>
      <w:bCs/>
      <w:color w:val="4F81BD" w:themeColor="accent1"/>
      <w:sz w:val="30"/>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8045</Words>
  <Characters>10240</Characters>
  <Lines>0</Lines>
  <Paragraphs>0</Paragraphs>
  <TotalTime>5</TotalTime>
  <ScaleCrop>false</ScaleCrop>
  <LinksUpToDate>false</LinksUpToDate>
  <CharactersWithSpaces>10601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WPS_1662082803</cp:lastModifiedBy>
  <dcterms:modified xsi:type="dcterms:W3CDTF">2026-08-15T06:08:03Z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eyJoZGlkIjoiOWFjY2EyOTRjZjgwODQ5YmY2NmIyODk0ODE4MmY4MjMiLCJ1c2VySWQiOiIxMzk5ODI0MDQ2In0=</vt:lpwstr>
  </property>
  <property fmtid="{D5CDD505-2E9C-101B-9397-08002B2CF9AE}" pid="3" name="KSOProductBuildVer">
    <vt:lpwstr>2052-12.1.0.28043</vt:lpwstr>
  </property>
  <property fmtid="{D5CDD505-2E9C-101B-9397-08002B2CF9AE}" pid="4" name="ICV">
    <vt:lpwstr>61F1422CFAFA41B0A1FE7DA04FA22916_12</vt:lpwstr>
  </property>
</Properties>
</file>