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000"/>
        <w:jc w:val="center"/>
      </w:pPr>
      <w:r>
        <w:rPr>
          <w:rFonts w:ascii="Arial" w:cs="Arial" w:eastAsia="Arial" w:hAnsi="Arial"/>
          <w:b/>
          <w:bCs/>
          <w:color w:val="FF5A1F"/>
          <w:sz w:val="27"/>
          <w:szCs w:val="27"/>
        </w:rPr>
        <w:t xml:space="preserve">LES COLLATIONS DE</w:t>
      </w:r>
    </w:p>
    <w:p>
      <w:pPr>
        <w:spacing w:after="320"/>
        <w:jc w:val="center"/>
      </w:pPr>
      <w:r>
        <w:rPr>
          <w:rFonts w:ascii="Arial" w:cs="Arial" w:eastAsia="Arial" w:hAnsi="Arial"/>
          <w:b/>
          <w:bCs/>
          <w:color w:val="24160F"/>
          <w:sz w:val="52"/>
          <w:szCs w:val="52"/>
        </w:rPr>
        <w:t xml:space="preserve">MAMAN TOKPA</w:t>
      </w:r>
    </w:p>
    <w:p>
      <w:pPr>
        <w:spacing w:after="220"/>
        <w:jc w:val="center"/>
      </w:pPr>
      <w:r>
        <w:rPr>
          <w:rFonts w:ascii="Arial" w:cs="Arial" w:eastAsia="Arial" w:hAnsi="Arial"/>
          <w:b/>
          <w:bCs/>
          <w:color w:val="FF5A1F"/>
          <w:sz w:val="30"/>
          <w:szCs w:val="30"/>
        </w:rPr>
        <w:t xml:space="preserve">GENÈSE DU PROJET &amp; DOSSIER DE CONTEXTE</w:t>
      </w:r>
    </w:p>
    <w:p>
      <w:pPr>
        <w:spacing w:after="420"/>
        <w:jc w:val="center"/>
      </w:pPr>
      <w:r>
        <w:rPr>
          <w:rFonts w:ascii="Arial" w:cs="Arial" w:eastAsia="Arial" w:hAnsi="Arial"/>
          <w:color w:val="24160F"/>
          <w:sz w:val="24"/>
          <w:szCs w:val="24"/>
        </w:rPr>
        <w:t xml:space="preserve">Base de référence pour préparer le cahier des charges d’une future page de connexion administrateur</w:t>
      </w:r>
    </w:p>
    <w:p>
      <w:pPr>
        <w:spacing w:after="750" w:before="250"/>
        <w:jc w:val="center"/>
      </w:pPr>
      <w:r>
        <w:rPr>
          <w:rFonts w:ascii="Arial" w:cs="Arial" w:eastAsia="Arial" w:hAnsi="Arial"/>
          <w:color w:val="6B5B50"/>
          <w:sz w:val="21"/>
          <w:szCs w:val="21"/>
        </w:rPr>
        <w:t xml:space="preserve">Document autonome — français — version du 18 octobre 2026</w:t>
      </w:r>
    </w:p>
    <w:p>
      <w:pPr>
        <w:pBdr>
          <w:left w:val="single" w:color="FF5A1F" w:sz="18" w:space="8"/>
        </w:pBdr>
        <w:shd w:fill="FFF4D6" w:val="clear"/>
        <w:spacing w:after="180" w:before="100"/>
        <w:ind w:left="200" w:right="120"/>
      </w:pPr>
      <w:r>
        <w:rPr>
          <w:rFonts w:ascii="Arial" w:cs="Arial" w:eastAsia="Arial" w:hAnsi="Arial"/>
          <w:b/>
          <w:bCs/>
          <w:color w:val="24160F"/>
          <w:sz w:val="21"/>
          <w:szCs w:val="21"/>
        </w:rPr>
        <w:t xml:space="preserve">RÈGLE DE CLOISONNEMENT : ce document concerne uniquement « Les collations de Maman Tokpa », dépôt LILSTONE225/maman-marie. Le site public actuel est une vitrine statique. La connexion administrateur est une évolution nouvelle à spécifier, pas une fonction existante à réactiver.</w:t>
      </w:r>
    </w:p>
    <w:p>
      <w:pPr>
        <w:pStyle w:val="Heading1"/>
        <w:keepNext/>
        <w:spacing w:after="170" w:before="360"/>
      </w:pPr>
      <w:r>
        <w:rPr>
          <w:rFonts w:ascii="Arial" w:cs="Arial" w:eastAsia="Arial" w:hAnsi="Arial"/>
          <w:b/>
          <w:bCs/>
          <w:color w:val="FF5A1F"/>
          <w:sz w:val="32"/>
          <w:szCs w:val="32"/>
        </w:rPr>
        <w:t xml:space="preserve">Comment utiliser ce document</w:t>
      </w:r>
    </w:p>
    <w:p>
      <w:pPr>
        <w:spacing w:after="130" w:line="300"/>
      </w:pPr>
      <w:r>
        <w:rPr>
          <w:rFonts w:ascii="Arial" w:cs="Arial" w:eastAsia="Arial" w:hAnsi="Arial"/>
          <w:color w:val="24160F"/>
          <w:sz w:val="21"/>
          <w:szCs w:val="21"/>
        </w:rPr>
        <w:t xml:space="preserve">Transmettre ce document à ChatGPT avec le prompt prêt à copier de la dernière partie. Demander d’abord un cahier des charges fonctionnel complet et les questions nécessaires. Ne demander aucun code à cette étape. Une fois les règles métier et les choix d’architecture validés, remettre le cahier approuvé à Claude pour l’implémentation dans le dépôt concerné.</w:t>
      </w:r>
    </w:p>
    <w:p>
      <w:pPr>
        <w:spacing w:after="130" w:line="300"/>
      </w:pPr>
      <w:r>
        <w:rPr>
          <w:rFonts w:ascii="Arial" w:cs="Arial" w:eastAsia="Arial" w:hAnsi="Arial"/>
          <w:color w:val="24160F"/>
          <w:sz w:val="21"/>
          <w:szCs w:val="21"/>
        </w:rPr>
        <w:t xml:space="preserve">Les informations sont classées en faits vérifiés dans les sources, éléments historiques du dépôt, objectif confirmé de la nouvelle demande et décisions encore ouvertes. Tout point inconnu doit rester une question, jamais une supposition présentée comme un fait.</w:t>
      </w:r>
    </w:p>
    <w:p>
      <w:pPr>
        <w:pStyle w:val="Heading1"/>
        <w:keepNext/>
        <w:spacing w:after="170" w:before="360"/>
      </w:pPr>
      <w:r>
        <w:rPr>
          <w:rFonts w:ascii="Arial" w:cs="Arial" w:eastAsia="Arial" w:hAnsi="Arial"/>
          <w:b/>
          <w:bCs/>
          <w:color w:val="FF5A1F"/>
          <w:sz w:val="32"/>
          <w:szCs w:val="32"/>
        </w:rPr>
        <w:t xml:space="preserve">1. Identité, objectif et périmètre du projet</w:t>
      </w:r>
    </w:p>
    <w:p>
      <w:pPr>
        <w:spacing w:after="130" w:line="300"/>
      </w:pPr>
      <w:r>
        <w:rPr>
          <w:rFonts w:ascii="Arial" w:cs="Arial" w:eastAsia="Arial" w:hAnsi="Arial"/>
          <w:b/>
          <w:bCs/>
          <w:color w:val="24160F"/>
          <w:sz w:val="21"/>
          <w:szCs w:val="21"/>
        </w:rPr>
        <w:t xml:space="preserve">Nom de marque : </w:t>
      </w:r>
      <w:r>
        <w:rPr>
          <w:rFonts w:ascii="Arial" w:cs="Arial" w:eastAsia="Arial" w:hAnsi="Arial"/>
          <w:color w:val="24160F"/>
          <w:sz w:val="21"/>
          <w:szCs w:val="21"/>
        </w:rPr>
        <w:t xml:space="preserve">Les collations de Maman Tokpa.</w:t>
      </w:r>
    </w:p>
    <w:p>
      <w:pPr>
        <w:spacing w:after="130" w:line="300"/>
      </w:pPr>
      <w:r>
        <w:rPr>
          <w:rFonts w:ascii="Arial" w:cs="Arial" w:eastAsia="Arial" w:hAnsi="Arial"/>
          <w:b/>
          <w:bCs/>
          <w:color w:val="24160F"/>
          <w:sz w:val="21"/>
          <w:szCs w:val="21"/>
        </w:rPr>
        <w:t xml:space="preserve">Activité : </w:t>
      </w:r>
      <w:r>
        <w:rPr>
          <w:rFonts w:ascii="Arial" w:cs="Arial" w:eastAsia="Arial" w:hAnsi="Arial"/>
          <w:color w:val="24160F"/>
          <w:sz w:val="21"/>
          <w:szCs w:val="21"/>
        </w:rPr>
        <w:t xml:space="preserve">site vitrine de collations ivoiriennes préparées à Abidjan, Côte d’Ivoire.</w:t>
      </w:r>
    </w:p>
    <w:p>
      <w:pPr>
        <w:spacing w:after="130" w:line="300"/>
      </w:pPr>
      <w:r>
        <w:rPr>
          <w:rFonts w:ascii="Arial" w:cs="Arial" w:eastAsia="Arial" w:hAnsi="Arial"/>
          <w:b/>
          <w:bCs/>
          <w:color w:val="24160F"/>
          <w:sz w:val="21"/>
          <w:szCs w:val="21"/>
        </w:rPr>
        <w:t xml:space="preserve">Finalité actuelle : </w:t>
      </w:r>
      <w:r>
        <w:rPr>
          <w:rFonts w:ascii="Arial" w:cs="Arial" w:eastAsia="Arial" w:hAnsi="Arial"/>
          <w:color w:val="24160F"/>
          <w:sz w:val="21"/>
          <w:szCs w:val="21"/>
        </w:rPr>
        <w:t xml:space="preserve">présenter la marque et ses produits, afficher certains prix de détail connus, orienter les demandes vers la vendeuse par WhatsApp ou téléphone, décrire une offre de gros pour certains produits et faciliter les prises de contact événementielles.</w:t>
      </w:r>
    </w:p>
    <w:p>
      <w:pPr>
        <w:spacing w:after="130" w:line="300"/>
      </w:pPr>
      <w:r>
        <w:rPr>
          <w:rFonts w:ascii="Arial" w:cs="Arial" w:eastAsia="Arial" w:hAnsi="Arial"/>
          <w:b/>
          <w:bCs/>
          <w:color w:val="24160F"/>
          <w:sz w:val="21"/>
          <w:szCs w:val="21"/>
        </w:rPr>
        <w:t xml:space="preserve">Nature du site : </w:t>
      </w:r>
      <w:r>
        <w:rPr>
          <w:rFonts w:ascii="Arial" w:cs="Arial" w:eastAsia="Arial" w:hAnsi="Arial"/>
          <w:color w:val="24160F"/>
          <w:sz w:val="21"/>
          <w:szCs w:val="21"/>
        </w:rPr>
        <w:t xml:space="preserve">outil d’information et de redirection. Il ne traite pas les commandes, paiements, comptes clients, confirmations ou livraisons.</w:t>
      </w:r>
    </w:p>
    <w:p>
      <w:pPr>
        <w:spacing w:after="130" w:line="300"/>
      </w:pPr>
      <w:r>
        <w:rPr>
          <w:rFonts w:ascii="Arial" w:cs="Arial" w:eastAsia="Arial" w:hAnsi="Arial"/>
          <w:b/>
          <w:bCs/>
          <w:color w:val="24160F"/>
          <w:sz w:val="21"/>
          <w:szCs w:val="21"/>
        </w:rPr>
        <w:t xml:space="preserve">Audience : </w:t>
      </w:r>
      <w:r>
        <w:rPr>
          <w:rFonts w:ascii="Arial" w:cs="Arial" w:eastAsia="Arial" w:hAnsi="Arial"/>
          <w:color w:val="24160F"/>
          <w:sz w:val="21"/>
          <w:szCs w:val="21"/>
        </w:rPr>
        <w:t xml:space="preserve">visiteurs mobiles et ordinateur, notamment à Abidjan. La personne administratrice envisagée est distincte du visiteur public; ses responsabilités restent à définir.</w:t>
      </w:r>
    </w:p>
    <w:p>
      <w:pPr>
        <w:pBdr>
          <w:left w:val="single" w:color="FF5A1F" w:sz="18" w:space="8"/>
        </w:pBdr>
        <w:shd w:fill="FFF4D6" w:val="clear"/>
        <w:spacing w:after="180" w:before="100"/>
        <w:ind w:left="200" w:right="120"/>
      </w:pPr>
      <w:r>
        <w:rPr>
          <w:rFonts w:ascii="Arial" w:cs="Arial" w:eastAsia="Arial" w:hAnsi="Arial"/>
          <w:b/>
          <w:bCs/>
          <w:color w:val="24160F"/>
          <w:sz w:val="21"/>
          <w:szCs w:val="21"/>
        </w:rPr>
        <w:t xml:space="preserve">Le nom de la marque est « Maman Tokpa ». Le nom du dépôt est « maman-marie ». Ne pas interpréter ce nom de dépôt comme une autre marque et ne pas mélanger ce projet à un autre site ou à une autre conversation.</w:t>
      </w:r>
    </w:p>
    <w:p>
      <w:pPr>
        <w:pStyle w:val="Heading1"/>
        <w:keepNext/>
        <w:spacing w:after="170" w:before="360"/>
      </w:pPr>
      <w:r>
        <w:rPr>
          <w:rFonts w:ascii="Arial" w:cs="Arial" w:eastAsia="Arial" w:hAnsi="Arial"/>
          <w:b/>
          <w:bCs/>
          <w:color w:val="FF5A1F"/>
          <w:sz w:val="32"/>
          <w:szCs w:val="32"/>
        </w:rPr>
        <w:t xml:space="preserve">2. Genèse et évolution connue</w:t>
      </w:r>
    </w:p>
    <w:p>
      <w:pPr>
        <w:spacing w:after="130" w:line="300"/>
      </w:pPr>
      <w:r>
        <w:rPr>
          <w:rFonts w:ascii="Arial" w:cs="Arial" w:eastAsia="Arial" w:hAnsi="Arial"/>
          <w:color w:val="24160F"/>
          <w:sz w:val="21"/>
          <w:szCs w:val="21"/>
        </w:rPr>
        <w:t xml:space="preserve">Le dépôt Git documente la création puis l’évolution d’un site vitrine indépendant. La chronologie ci-dessous provient de l’historique local du dépôt; elle ne prouve pas que les prototypes historiques sont encore disponibles dans le site publié.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8100"/>
      </w:tblGrid>
      <w:tr>
        <w:trPr>
          <w:tblHeader/>
        </w:trPr>
        <w:tc>
          <w:tcPr>
            <w:tcW w:type="dxa" w:w="19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Date</w:t>
            </w:r>
          </w:p>
        </w:tc>
        <w:tc>
          <w:tcPr>
            <w:tcW w:type="dxa" w:w="81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Événement vérifié dans l’historique</w:t>
            </w:r>
          </w:p>
        </w:tc>
      </w:tr>
      <w:tr>
        <w:trPr>
          <w:cantSplit/>
        </w:trPr>
        <w:tc>
          <w:tcPr>
            <w:tcW w:type="dxa" w:w="1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11 oct. 2026</w:t>
            </w:r>
          </w:p>
        </w:tc>
        <w:tc>
          <w:tcPr>
            <w:tcW w:type="dxa" w:w="8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Commit initial du projet (8fbe20). Mise en place du site vitrine.</w:t>
            </w:r>
          </w:p>
        </w:tc>
      </w:tr>
      <w:tr>
        <w:trPr>
          <w:cantSplit/>
        </w:trPr>
        <w:tc>
          <w:tcPr>
            <w:tcW w:type="dxa" w:w="1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13 oct. 2026</w:t>
            </w:r>
          </w:p>
        </w:tc>
        <w:tc>
          <w:tcPr>
            <w:tcW w:type="dxa" w:w="8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L’historique enregistre des travaux temporaires autour d’un panneau/catalogue administrateur et d’un accès via Cloudflare. Ces essais ne sont pas une fonction présente dans l’état actuel.</w:t>
            </w:r>
          </w:p>
        </w:tc>
      </w:tr>
      <w:tr>
        <w:trPr>
          <w:cantSplit/>
        </w:trPr>
        <w:tc>
          <w:tcPr>
            <w:tcW w:type="dxa" w:w="1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13 oct. 2026</w:t>
            </w:r>
          </w:p>
        </w:tc>
        <w:tc>
          <w:tcPr>
            <w:tcW w:type="dxa" w:w="8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Commit 7f193ed : « Remove admin panel and backend ». Le panneau et le backend associés sont supprimés. Ne pas supposer qu’ils doivent être restaurés ni que leur architecture subsiste.</w:t>
            </w:r>
          </w:p>
        </w:tc>
      </w:tr>
      <w:tr>
        <w:trPr>
          <w:cantSplit/>
        </w:trPr>
        <w:tc>
          <w:tcPr>
            <w:tcW w:type="dxa" w:w="1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13 oct. 2026</w:t>
            </w:r>
          </w:p>
        </w:tc>
        <w:tc>
          <w:tcPr>
            <w:tcW w:type="dxa" w:w="8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Ajout d’une offre de commande en gros pour les cacahuètes et arachides grillées salées (8781863).</w:t>
            </w:r>
          </w:p>
        </w:tc>
      </w:tr>
      <w:tr>
        <w:trPr>
          <w:cantSplit/>
        </w:trPr>
        <w:tc>
          <w:tcPr>
            <w:tcW w:type="dxa" w:w="1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18 oct. 2026</w:t>
            </w:r>
          </w:p>
        </w:tc>
        <w:tc>
          <w:tcPr>
            <w:tcW w:type="dxa" w:w="8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Instantané de référence observé : commit 4716b97, déploiement du site par GitHub Pages.</w:t>
            </w:r>
          </w:p>
        </w:tc>
      </w:tr>
    </w:tbl>
    <w:p>
      <w:pPr>
        <w:spacing w:after="130" w:line="300"/>
      </w:pPr>
      <w:r>
        <w:rPr>
          <w:rFonts w:ascii="Arial" w:cs="Arial" w:eastAsia="Arial" w:hAnsi="Arial"/>
          <w:color w:val="24160F"/>
          <w:sz w:val="21"/>
          <w:szCs w:val="21"/>
        </w:rPr>
        <w:t xml:space="preserve">État actuel établi par inspection : la vitrine repose sur HTML, CSS et JavaScript natifs, et la publication GitHub Pages envoie le dossier maman-marie/. Le README indique qu’aucune base de données, fonction serveur ou API payante n’est nécessaire au fonctionnement actuel de la vitrine.</w:t>
      </w:r>
    </w:p>
    <w:p>
      <w:pPr>
        <w:spacing w:after="130" w:line="300"/>
      </w:pPr>
      <w:r>
        <w:rPr>
          <w:rFonts w:ascii="Arial" w:cs="Arial" w:eastAsia="Arial" w:hAnsi="Arial"/>
          <w:color w:val="24160F"/>
          <w:sz w:val="21"/>
          <w:szCs w:val="21"/>
        </w:rPr>
        <w:t xml:space="preserve">Les sources actuelles priment sur les documents de contexte et sur tout ancien prototype. Si une demande future contredit cet état, signaler explicitement la divergence avant de proposer un changement.</w:t>
      </w:r>
    </w:p>
    <w:p>
      <w:pPr>
        <w:pStyle w:val="Heading1"/>
        <w:keepNext/>
        <w:spacing w:after="170" w:before="360"/>
      </w:pPr>
      <w:r>
        <w:rPr>
          <w:rFonts w:ascii="Arial" w:cs="Arial" w:eastAsia="Arial" w:hAnsi="Arial"/>
          <w:b/>
          <w:bCs/>
          <w:color w:val="FF5A1F"/>
          <w:sz w:val="32"/>
          <w:szCs w:val="32"/>
        </w:rPr>
        <w:t xml:space="preserve">3. Architecture et ressources existantes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100"/>
        <w:gridCol w:w="6900"/>
      </w:tblGrid>
      <w:tr>
        <w:trPr>
          <w:tblHeader/>
        </w:trPr>
        <w:tc>
          <w:tcPr>
            <w:tcW w:type="dxa" w:w="31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Élément</w:t>
            </w:r>
          </w:p>
        </w:tc>
        <w:tc>
          <w:tcPr>
            <w:tcW w:type="dxa" w:w="69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Rôle et état vérifié</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maman-marie/index.html</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Page unique : structure, sections, contenus, navigation, zones dynamiques, métadonnées SEO et chargement des scripts.</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maman-marie/assets/css/styles.css</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Palette, typographie, composants, animations, responsive, focus visible et états visuels.</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maman-marie/assets/js/config.js</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window.SITE_CONFIG : numéros de contact, produits, prix, variantes et chemins d’images.</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maman-marie/assets/js/main.js</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Rendu du catalogue, calculs d’affichage, liens de commande, filtres, carrousel, navigation et effets.</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maman-marie/assets/img/</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Logo, photos de produits et illustrations utilisés sur la vitrine.</w:t>
            </w:r>
          </w:p>
        </w:tc>
      </w:tr>
      <w:tr>
        <w:trPr>
          <w:cantSplit/>
        </w:trPr>
        <w:tc>
          <w:tcPr>
            <w:tcW w:type="dxa" w:w="31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.github/workflows/pages.yml</w:t>
            </w:r>
          </w:p>
        </w:tc>
        <w:tc>
          <w:tcPr>
            <w:tcW w:type="dxa" w:w="69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Déploiement de maman-marie/ vers GitHub Pages après les mises à jour prévues du dépôt.</w:t>
            </w:r>
          </w:p>
        </w:tc>
      </w:tr>
    </w:tbl>
    <w:p>
      <w:pPr>
        <w:spacing w:after="130" w:line="300"/>
      </w:pPr>
      <w:r>
        <w:rPr>
          <w:rFonts w:ascii="Arial" w:cs="Arial" w:eastAsia="Arial" w:hAnsi="Arial"/>
          <w:b/>
          <w:bCs/>
          <w:color w:val="24160F"/>
          <w:sz w:val="21"/>
          <w:szCs w:val="21"/>
        </w:rPr>
        <w:t xml:space="preserve">Technologies actuelles : </w:t>
      </w:r>
      <w:r>
        <w:rPr>
          <w:rFonts w:ascii="Arial" w:cs="Arial" w:eastAsia="Arial" w:hAnsi="Arial"/>
          <w:color w:val="24160F"/>
          <w:sz w:val="21"/>
          <w:szCs w:val="21"/>
        </w:rPr>
        <w:t xml:space="preserve">HTML5, CSS3 et JavaScript natif; pas de framework d’interface, étape de compilation ou gestionnaire de dépendances de l’application.</w:t>
      </w:r>
    </w:p>
    <w:p>
      <w:pPr>
        <w:spacing w:after="130" w:line="300"/>
      </w:pPr>
      <w:r>
        <w:rPr>
          <w:rFonts w:ascii="Arial" w:cs="Arial" w:eastAsia="Arial" w:hAnsi="Arial"/>
          <w:b/>
          <w:bCs/>
          <w:color w:val="24160F"/>
          <w:sz w:val="21"/>
          <w:szCs w:val="21"/>
        </w:rPr>
        <w:t xml:space="preserve">Références du dépôt : </w:t>
      </w:r>
      <w:r>
        <w:rPr>
          <w:rFonts w:ascii="Arial" w:cs="Arial" w:eastAsia="Arial" w:hAnsi="Arial"/>
          <w:color w:val="24160F"/>
          <w:sz w:val="21"/>
          <w:szCs w:val="21"/>
        </w:rPr>
        <w:t xml:space="preserve">https://github.com/LILSTONE225/maman-marie, branche main.</w:t>
      </w:r>
    </w:p>
    <w:p>
      <w:pPr>
        <w:spacing w:after="130" w:line="300"/>
      </w:pPr>
      <w:r>
        <w:rPr>
          <w:rFonts w:ascii="Arial" w:cs="Arial" w:eastAsia="Arial" w:hAnsi="Arial"/>
          <w:b/>
          <w:bCs/>
          <w:color w:val="24160F"/>
          <w:sz w:val="21"/>
          <w:szCs w:val="21"/>
        </w:rPr>
        <w:t xml:space="preserve">Adresse publique documentée : </w:t>
      </w:r>
      <w:r>
        <w:rPr>
          <w:rFonts w:ascii="Arial" w:cs="Arial" w:eastAsia="Arial" w:hAnsi="Arial"/>
          <w:color w:val="24160F"/>
          <w:sz w:val="21"/>
          <w:szCs w:val="21"/>
        </w:rPr>
        <w:t xml:space="preserve">https://lilstone225.github.io/maman-marie/ (disponibilité liée à la configuration GitHub Pages et au déploiement).</w:t>
      </w:r>
    </w:p>
    <w:p>
      <w:pPr>
        <w:spacing w:after="130" w:line="300"/>
      </w:pPr>
      <w:r>
        <w:rPr>
          <w:rFonts w:ascii="Arial" w:cs="Arial" w:eastAsia="Arial" w:hAnsi="Arial"/>
          <w:b/>
          <w:bCs/>
          <w:color w:val="24160F"/>
          <w:sz w:val="21"/>
          <w:szCs w:val="21"/>
        </w:rPr>
        <w:t xml:space="preserve">Ressources externes : </w:t>
      </w:r>
      <w:r>
        <w:rPr>
          <w:rFonts w:ascii="Arial" w:cs="Arial" w:eastAsia="Arial" w:hAnsi="Arial"/>
          <w:color w:val="24160F"/>
          <w:sz w:val="21"/>
          <w:szCs w:val="21"/>
        </w:rPr>
        <w:t xml:space="preserve">Google Fonts charge DM Sans et Space Grotesk. Ne pas ajouter un service d’authentification, stockage ou paiement sans décision explicite.</w:t>
      </w:r>
    </w:p>
    <w:p>
      <w:pPr>
        <w:pStyle w:val="Heading1"/>
        <w:keepNext/>
        <w:spacing w:after="170" w:before="360"/>
      </w:pPr>
      <w:r>
        <w:rPr>
          <w:rFonts w:ascii="Arial" w:cs="Arial" w:eastAsia="Arial" w:hAnsi="Arial"/>
          <w:b/>
          <w:bCs/>
          <w:color w:val="FF5A1F"/>
          <w:sz w:val="32"/>
          <w:szCs w:val="32"/>
        </w:rPr>
        <w:t xml:space="preserve">4. Carte du site public et parcours actuel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Section / repère</w:t>
            </w:r>
          </w:p>
        </w:tc>
        <w:tc>
          <w:tcPr>
            <w:tcW w:type="dxa" w:w="74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Contenu et rôle</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Accueil — #accueil</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Promesse de marque, localisation à Abidjan, visuels, résumé de l’offre, accès au catalogue et au contact.</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Ruban de produits</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Défilement décoratif des familles de collations; non essentiel au parcours.</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Sélection — #featured-carousel</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Carrousel des quatre premiers produits configurés; précédent/suivant, indicateurs et pause/reprise.</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Nos collations — #collations</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Catalogue, filtres Tout/Croustillant/Graines, cartes, variantes, prix connus et liens de commande. La catégorie maison existe dans les données sans filtre dédié affiché.</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Notre univers — #univers</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Présentation locale, valeurs de marque et contact événementiel; la réservation renvoie au contact.</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Contact — #contact</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Liens WhatsApp et appel. Horaires et modalités de livraison confirmés par la vendeuse lors du contact.</w:t>
            </w:r>
          </w:p>
        </w:tc>
      </w:tr>
      <w:tr>
        <w:trPr>
          <w:cantSplit/>
        </w:trPr>
        <w:tc>
          <w:tcPr>
            <w:tcW w:type="dxa" w:w="26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Pied de page</w:t>
            </w:r>
          </w:p>
        </w:tc>
        <w:tc>
          <w:tcPr>
            <w:tcW w:type="dxa" w:w="74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Identité, contacts, QR WhatsApp et année courante.</w:t>
            </w:r>
          </w:p>
        </w:tc>
      </w:tr>
    </w:tbl>
    <w:p>
      <w:pPr>
        <w:spacing w:after="130" w:line="300"/>
      </w:pPr>
      <w:r>
        <w:rPr>
          <w:rFonts w:ascii="Arial" w:cs="Arial" w:eastAsia="Arial" w:hAnsi="Arial"/>
          <w:color w:val="24160F"/>
          <w:sz w:val="21"/>
          <w:szCs w:val="21"/>
        </w:rPr>
        <w:t xml:space="preserve">Parcours visiteur : découverte de l’accueil → sélection ou catalogue → choix de la variante/quantité si tarif connu → ouverture de WhatsApp avec message prérempli, ou appel; si le prix est inconnu, le message demande le prix et la disponibilité. Une demande événementielle passe par les mêmes contacts. Le site ne stocke pas de panier ni d’historique de commande.</w:t>
      </w:r>
    </w:p>
    <w:p>
      <w:pPr>
        <w:pStyle w:val="Heading1"/>
        <w:keepNext/>
        <w:spacing w:after="170" w:before="360"/>
      </w:pPr>
      <w:r>
        <w:rPr>
          <w:rFonts w:ascii="Arial" w:cs="Arial" w:eastAsia="Arial" w:hAnsi="Arial"/>
          <w:b/>
          <w:bCs/>
          <w:color w:val="FF5A1F"/>
          <w:sz w:val="32"/>
          <w:szCs w:val="32"/>
        </w:rPr>
        <w:t xml:space="preserve">5. Identité visuelle à reprendre avec mesure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Élément</w:t>
            </w:r>
          </w:p>
        </w:tc>
        <w:tc>
          <w:tcPr>
            <w:tcW w:type="dxa" w:w="75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Valeur / usage existant</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Orange</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#FF5A1F — accent de marque, actions et emphases.</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Jaune</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#FFD43B — accent lumineux, focus et détails d’interface.</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Cacao</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#24160F — texte, fonds sombres et contraste de marque.</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Crème</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#FFF4D6 — fond principal clair.</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Orange sombre</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#E04A12 — accent secondaire.</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Titres</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Space Grotesk (500/700), avec repli système.</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Texte</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DM Sans (400/500/700), avec repli système.</w:t>
            </w:r>
          </w:p>
        </w:tc>
      </w:tr>
      <w:tr>
        <w:trPr>
          <w:cantSplit/>
        </w:trPr>
        <w:tc>
          <w:tcPr>
            <w:tcW w:type="dxa" w:w="2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Composants</w:t>
            </w:r>
          </w:p>
        </w:tc>
        <w:tc>
          <w:tcPr>
            <w:tcW w:type="dxa" w:w="7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Boutons arrondis, cartes, ombres modérées, accents chaleureux et navigation fixe.</w:t>
            </w:r>
          </w:p>
        </w:tc>
      </w:tr>
    </w:tbl>
    <w:p>
      <w:pPr>
        <w:spacing w:after="130" w:line="300"/>
      </w:pPr>
      <w:r>
        <w:rPr>
          <w:rFonts w:ascii="Arial" w:cs="Arial" w:eastAsia="Arial" w:hAnsi="Arial"/>
          <w:color w:val="24160F"/>
          <w:sz w:val="21"/>
          <w:szCs w:val="21"/>
        </w:rPr>
        <w:t xml:space="preserve">Une éventuelle page d’accès administrateur peut s’inspirer de ces couleurs, typographies, rayons, boutons, états focus et du logo. Elle doit rester identifiable comme un écran privé, lisible et sobre; ne pas copier toutes les animations de la vitrine au détriment du temps d’accès, du clavier ou du mouvement réduit. Une référence visuelle doit être confirmée.</w:t>
      </w:r>
    </w:p>
    <w:p>
      <w:pPr>
        <w:pStyle w:val="Heading1"/>
        <w:keepNext/>
        <w:spacing w:after="170" w:before="360"/>
      </w:pPr>
      <w:r>
        <w:rPr>
          <w:rFonts w:ascii="Arial" w:cs="Arial" w:eastAsia="Arial" w:hAnsi="Arial"/>
          <w:b/>
          <w:bCs/>
          <w:color w:val="FF5A1F"/>
          <w:sz w:val="32"/>
          <w:szCs w:val="32"/>
        </w:rPr>
        <w:t xml:space="preserve">6. Produits et règles commerciales présentes</w:t>
      </w:r>
    </w:p>
    <w:p>
      <w:pPr>
        <w:spacing w:after="130" w:line="300"/>
      </w:pPr>
      <w:r>
        <w:rPr>
          <w:rFonts w:ascii="Arial" w:cs="Arial" w:eastAsia="Arial" w:hAnsi="Arial"/>
          <w:color w:val="24160F"/>
          <w:sz w:val="21"/>
          <w:szCs w:val="21"/>
        </w:rPr>
        <w:t xml:space="preserve">Les données viennent de window.SITE_CONFIG.products dans config.js. Les valeurs ci-dessous sont celles actuellement codées, non une validation commerciale indépendante. La page indique que les tarifs affichés sont des prix de détail et que la nature de l’unité ou de certaines options reste à confirmer. Ne pas changer prix, unité, disponibilité, marge ou politique de gros sans confirmation.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Produit</w:t>
            </w:r>
          </w:p>
        </w:tc>
        <w:tc>
          <w:tcPr>
            <w:tcW w:type="dxa" w:w="6500"/>
            <w:shd w:fill="24160F" w:val="clear"/>
            <w:tcMar>
              <w:top w:type="dxa" w:w="90"/>
              <w:left w:type="dxa" w:w="110"/>
              <w:bottom w:type="dxa" w:w="90"/>
              <w:right w:type="dxa" w:w="110"/>
            </w:tcMar>
          </w:tcPr>
          <w:p>
            <w:pPr>
              <w:spacing w:after="0"/>
            </w:pPr>
            <w:r>
              <w:rPr>
                <w:rFonts w:ascii="Arial" w:cs="Arial" w:eastAsia="Arial" w:hAnsi="Arial"/>
                <w:b/>
                <w:bCs/>
                <w:color w:val="FFF4D6"/>
                <w:sz w:val="19"/>
                <w:szCs w:val="19"/>
              </w:rPr>
              <w:t xml:space="preserve">Catégorie et prix configurés</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Cracky</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Croustillant — 100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Chips de banane mûre / non mûre</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Croustillant — 100 FCFA / unité chacune.</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Popcorn simple / caramélisé</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Croustillant — 100 FCFA / unité chacun.</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Croquettes</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Croustillant — options 100, 300 et 500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Cacahuètes</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Graines — options 50, 100 et 500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Arachides grillées salées</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Graines — options 50 et 100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Barres de baobab</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Maison — 50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Gâteau salé</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Maison — 100 FCFA / unité.</w:t>
            </w:r>
          </w:p>
        </w:tc>
      </w:tr>
      <w:tr>
        <w:trPr>
          <w:cantSplit/>
        </w:trPr>
        <w:tc>
          <w:tcPr>
            <w:tcW w:type="dxa" w:w="3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Tôfi</w:t>
            </w:r>
          </w:p>
        </w:tc>
        <w:tc>
          <w:tcPr>
            <w:tcW w:type="dxa" w:w="6500"/>
            <w:tcMar>
              <w:top w:type="dxa" w:w="90"/>
              <w:left w:type="dxa" w:w="110"/>
              <w:bottom w:type="dxa" w:w="90"/>
              <w:right w:type="dxa" w:w="110"/>
            </w:tcMar>
          </w:tcPr>
          <w:p>
            <w:pPr>
              <w:spacing w:after="0"/>
            </w:pPr>
            <w:r>
              <w:rPr>
                <w:rFonts w:ascii="Arial" w:cs="Arial" w:eastAsia="Arial" w:hAnsi="Arial"/>
                <w:b w:val="false"/>
                <w:bCs w:val="false"/>
                <w:color w:val="24160F"/>
                <w:sz w:val="19"/>
                <w:szCs w:val="19"/>
              </w:rPr>
              <w:t xml:space="preserve">Maison — 25 FCFA / unité.</w:t>
            </w:r>
          </w:p>
        </w:tc>
      </w:tr>
    </w:tbl>
    <w:p>
      <w:pPr>
        <w:spacing w:after="130" w:line="300"/>
      </w:pPr>
      <w:r>
        <w:rPr>
          <w:rFonts w:ascii="Arial" w:cs="Arial" w:eastAsia="Arial" w:hAnsi="Arial"/>
          <w:b/>
          <w:bCs/>
          <w:color w:val="24160F"/>
          <w:sz w:val="21"/>
          <w:szCs w:val="21"/>
        </w:rPr>
        <w:t xml:space="preserve">Prix non renseignés : </w:t>
      </w:r>
      <w:r>
        <w:rPr>
          <w:rFonts w:ascii="Arial" w:cs="Arial" w:eastAsia="Arial" w:hAnsi="Arial"/>
          <w:color w:val="24160F"/>
          <w:sz w:val="21"/>
          <w:szCs w:val="21"/>
        </w:rPr>
        <w:t xml:space="preserve">le code envoie une demande de prix/disponibilité pour un produit sans prix détaillé. Le stock n’est pas déclaré indisponible dans les données actuelles.</w:t>
      </w:r>
    </w:p>
    <w:p>
      <w:pPr>
        <w:spacing w:after="130" w:line="300"/>
      </w:pPr>
      <w:r>
        <w:rPr>
          <w:rFonts w:ascii="Arial" w:cs="Arial" w:eastAsia="Arial" w:hAnsi="Arial"/>
          <w:b/>
          <w:bCs/>
          <w:color w:val="24160F"/>
          <w:sz w:val="21"/>
          <w:szCs w:val="21"/>
        </w:rPr>
        <w:t xml:space="preserve">Gros : </w:t>
      </w:r>
      <w:r>
        <w:rPr>
          <w:rFonts w:ascii="Arial" w:cs="Arial" w:eastAsia="Arial" w:hAnsi="Arial"/>
          <w:color w:val="24160F"/>
          <w:sz w:val="21"/>
          <w:szCs w:val="21"/>
        </w:rPr>
        <w:t xml:space="preserve">actuellement proposé uniquement pour les cacahuètes et arachides grillées salées. Montant entier d’au moins 1 000 FCFA, par tranches de 1 000. Le calcul indicatif codé est 250 FCFA de bénéfice potentiel par tranche de 1 000 FCFA; il n’est pas garanti.</w:t>
      </w:r>
    </w:p>
    <w:p>
      <w:pPr>
        <w:spacing w:after="130" w:line="300"/>
      </w:pPr>
      <w:r>
        <w:rPr>
          <w:rFonts w:ascii="Arial" w:cs="Arial" w:eastAsia="Arial" w:hAnsi="Arial"/>
          <w:b/>
          <w:bCs/>
          <w:color w:val="24160F"/>
          <w:sz w:val="21"/>
          <w:szCs w:val="21"/>
        </w:rPr>
        <w:t xml:space="preserve">Commandes : </w:t>
      </w:r>
      <w:r>
        <w:rPr>
          <w:rFonts w:ascii="Arial" w:cs="Arial" w:eastAsia="Arial" w:hAnsi="Arial"/>
          <w:color w:val="24160F"/>
          <w:sz w:val="21"/>
          <w:szCs w:val="21"/>
        </w:rPr>
        <w:t xml:space="preserve">le lien WhatsApp transmet un message prérempli avec produit, option, prix et quantité ou montant de gros. Le site ne reçoit ni ne confirme la commande.</w:t>
      </w:r>
    </w:p>
    <w:p>
      <w:pPr>
        <w:pStyle w:val="Heading1"/>
        <w:keepNext/>
        <w:spacing w:after="170" w:before="360"/>
      </w:pPr>
      <w:r>
        <w:rPr>
          <w:rFonts w:ascii="Arial" w:cs="Arial" w:eastAsia="Arial" w:hAnsi="Arial"/>
          <w:b/>
          <w:bCs/>
          <w:color w:val="FF5A1F"/>
          <w:sz w:val="32"/>
          <w:szCs w:val="32"/>
        </w:rPr>
        <w:t xml:space="preserve">7. Comportements, accessibilité et contraintes actuels</w:t>
      </w:r>
    </w:p>
    <w:p>
      <w:pPr>
        <w:pStyle w:val="ListParagraph"/>
        <w:numPr>
          <w:ilvl/>
          <w:numId w:val="1"/>
        </w:numPr>
        <w:spacing w:after="70" w:line="280"/>
        <w:ind w:hanging="180"/>
      </w:pPr>
      <w:r>
        <w:rPr>
          <w:rFonts w:ascii="Arial" w:cs="Arial" w:eastAsia="Arial" w:hAnsi="Arial"/>
          <w:color w:val="24160F"/>
          <w:sz w:val="21"/>
          <w:szCs w:val="21"/>
        </w:rPr>
        <w:t xml:space="preserve">Contacts : numéro configuré avec indicatif; affichage formaté, lien tel: ou wa.me. Si la configuration est invalide, le lien est neutralisé et un avis est proposé.</w:t>
      </w:r>
    </w:p>
    <w:p>
      <w:pPr>
        <w:pStyle w:val="ListParagraph"/>
        <w:numPr>
          <w:ilvl/>
          <w:numId w:val="1"/>
        </w:numPr>
        <w:spacing w:after="70" w:line="280"/>
        <w:ind w:hanging="180"/>
      </w:pPr>
      <w:r>
        <w:rPr>
          <w:rFonts w:ascii="Arial" w:cs="Arial" w:eastAsia="Arial" w:hAnsi="Arial"/>
          <w:color w:val="24160F"/>
          <w:sz w:val="21"/>
          <w:szCs w:val="21"/>
        </w:rPr>
        <w:t xml:space="preserve">Variantes : le choix met à jour nom et photo; une image absente utilise un visuel de remplacement. La quantité doit être un entier positif; les commandes en gros suivent leurs incréments.</w:t>
      </w:r>
    </w:p>
    <w:p>
      <w:pPr>
        <w:pStyle w:val="ListParagraph"/>
        <w:numPr>
          <w:ilvl/>
          <w:numId w:val="1"/>
        </w:numPr>
        <w:spacing w:after="70" w:line="280"/>
        <w:ind w:hanging="180"/>
      </w:pPr>
      <w:r>
        <w:rPr>
          <w:rFonts w:ascii="Arial" w:cs="Arial" w:eastAsia="Arial" w:hAnsi="Arial"/>
          <w:color w:val="24160F"/>
          <w:sz w:val="21"/>
          <w:szCs w:val="21"/>
        </w:rPr>
        <w:t xml:space="preserve">Rupture : available:false peut désactiver un produit ou une variante, mais aucune rupture n’est configurée actuellement.</w:t>
      </w:r>
    </w:p>
    <w:p>
      <w:pPr>
        <w:pStyle w:val="ListParagraph"/>
        <w:numPr>
          <w:ilvl/>
          <w:numId w:val="1"/>
        </w:numPr>
        <w:spacing w:after="70" w:line="280"/>
        <w:ind w:hanging="180"/>
      </w:pPr>
      <w:r>
        <w:rPr>
          <w:rFonts w:ascii="Arial" w:cs="Arial" w:eastAsia="Arial" w:hAnsi="Arial"/>
          <w:color w:val="24160F"/>
          <w:sz w:val="21"/>
          <w:szCs w:val="21"/>
        </w:rPr>
        <w:t xml:space="preserve">Carrousel : boucle précédente/suivante, indicateurs, pause/reprise, rotation automatique lorsque visible, sans survol/focus, document visible et mouvement non réduit.</w:t>
      </w:r>
    </w:p>
    <w:p>
      <w:pPr>
        <w:pStyle w:val="ListParagraph"/>
        <w:numPr>
          <w:ilvl/>
          <w:numId w:val="1"/>
        </w:numPr>
        <w:spacing w:after="70" w:line="280"/>
        <w:ind w:hanging="180"/>
      </w:pPr>
      <w:r>
        <w:rPr>
          <w:rFonts w:ascii="Arial" w:cs="Arial" w:eastAsia="Arial" w:hAnsi="Arial"/>
          <w:color w:val="24160F"/>
          <w:sz w:val="21"/>
          <w:szCs w:val="21"/>
        </w:rPr>
        <w:t xml:space="preserve">Navigation : menu mobile, fermeture par navigation ou Échap, scroll bloqué pendant son ouverture; indicateur de section et bouton retour en haut.</w:t>
      </w:r>
    </w:p>
    <w:p>
      <w:pPr>
        <w:pStyle w:val="ListParagraph"/>
        <w:numPr>
          <w:ilvl/>
          <w:numId w:val="1"/>
        </w:numPr>
        <w:spacing w:after="70" w:line="280"/>
        <w:ind w:hanging="180"/>
      </w:pPr>
      <w:r>
        <w:rPr>
          <w:rFonts w:ascii="Arial" w:cs="Arial" w:eastAsia="Arial" w:hAnsi="Arial"/>
          <w:color w:val="24160F"/>
          <w:sz w:val="21"/>
          <w:szCs w:val="21"/>
        </w:rPr>
        <w:t xml:space="preserve">Accessibilité : lien d’évitement, focus visible, labels/ARIA, textes alternatifs et prise en compte de prefers-reduced-motion. Maintenir clavier et affichage mobile pour toute nouvelle page.</w:t>
      </w:r>
    </w:p>
    <w:p>
      <w:pPr>
        <w:pStyle w:val="ListParagraph"/>
        <w:numPr>
          <w:ilvl/>
          <w:numId w:val="1"/>
        </w:numPr>
        <w:spacing w:after="70" w:line="280"/>
        <w:ind w:hanging="180"/>
      </w:pPr>
      <w:r>
        <w:rPr>
          <w:rFonts w:ascii="Arial" w:cs="Arial" w:eastAsia="Arial" w:hAnsi="Arial"/>
          <w:color w:val="24160F"/>
          <w:sz w:val="21"/>
          <w:szCs w:val="21"/>
        </w:rPr>
        <w:t xml:space="preserve">Métadonnées : français UTF-8, viewport mobile, thème, titre et description. Aucune collecte de compte visiteur ou fonction analytics n’est documentée.</w:t>
      </w:r>
    </w:p>
    <w:p>
      <w:pPr>
        <w:pStyle w:val="Heading1"/>
        <w:keepNext/>
        <w:spacing w:after="170" w:before="360"/>
      </w:pPr>
      <w:r>
        <w:rPr>
          <w:rFonts w:ascii="Arial" w:cs="Arial" w:eastAsia="Arial" w:hAnsi="Arial"/>
          <w:b/>
          <w:bCs/>
          <w:color w:val="FF5A1F"/>
          <w:sz w:val="32"/>
          <w:szCs w:val="32"/>
        </w:rPr>
        <w:t xml:space="preserve">8. Nouvelle demande : accès administrateur (pas encore spécifié)</w:t>
      </w:r>
    </w:p>
    <w:p>
      <w:pPr>
        <w:spacing w:after="130" w:line="300"/>
      </w:pPr>
      <w:r>
        <w:rPr>
          <w:rFonts w:ascii="Arial" w:cs="Arial" w:eastAsia="Arial" w:hAnsi="Arial"/>
          <w:color w:val="24160F"/>
          <w:sz w:val="21"/>
          <w:szCs w:val="21"/>
        </w:rPr>
        <w:t xml:space="preserve">Objectif confirmé : demander à ChatGPT un cahier des charges conforme au site pour une page « log in administrateur », puis confier le cahier approuvé à Claude afin qu’il produise du code. Ce document prépare cette demande; il ne remplace pas les réponses aux questions métier et ne vaut pas approbation d’architecture.</w:t>
      </w:r>
    </w:p>
    <w:p>
      <w:pPr>
        <w:spacing w:after="130" w:line="300"/>
      </w:pPr>
      <w:r>
        <w:rPr>
          <w:rFonts w:ascii="Arial" w:cs="Arial" w:eastAsia="Arial" w:hAnsi="Arial"/>
          <w:color w:val="24160F"/>
          <w:sz w:val="21"/>
          <w:szCs w:val="21"/>
        </w:rPr>
        <w:t xml:space="preserve">Faits certains : une interface d’authentification administrateur est une nouvelle évolution à définir. Le site public courant est statique sur GitHub Pages et ne comporte actuellement ni panneau d’administration ni backend actif. L’historique contient des expérimentations retirées; elles ne sont pas des exigences et ne désignent pas automatiquement un fournisseur futur.</w:t>
      </w:r>
    </w:p>
    <w:p>
      <w:pPr>
        <w:spacing w:after="130" w:line="300"/>
      </w:pPr>
      <w:r>
        <w:rPr>
          <w:rFonts w:ascii="Arial" w:cs="Arial" w:eastAsia="Arial" w:hAnsi="Arial"/>
          <w:color w:val="24160F"/>
          <w:sz w:val="21"/>
          <w:szCs w:val="21"/>
        </w:rPr>
        <w:t xml:space="preserve">Ne sont pas confirmés : tâches après connexion, identifiants (courriel, nom d’utilisateur ou autre), comptes/rôles, actions autorisées, récupération, MFA, stockage, durée de session, hébergement, adresse de la page et comportement après connexion/déconnexion.</w:t>
      </w:r>
    </w:p>
    <w:p>
      <w:pPr>
        <w:pBdr>
          <w:left w:val="single" w:color="FF5A1F" w:sz="18" w:space="8"/>
        </w:pBdr>
        <w:shd w:fill="FFF4D6" w:val="clear"/>
        <w:spacing w:after="180" w:before="100"/>
        <w:ind w:left="200" w:right="120"/>
      </w:pPr>
      <w:r>
        <w:rPr>
          <w:rFonts w:ascii="Arial" w:cs="Arial" w:eastAsia="Arial" w:hAnsi="Arial"/>
          <w:b/>
          <w:bCs/>
          <w:color w:val="24160F"/>
          <w:sz w:val="21"/>
          <w:szCs w:val="21"/>
        </w:rPr>
        <w:t xml:space="preserve">L’authentification réelle ne peut pas être sécurisée par un mot de passe ou une condition uniquement dans le HTML/JavaScript livré au navigateur. GitHub Pages est statique; il faut choisir un backend/API ou fournisseur d’identité compatible, protéger aussi les données/actions côté serveur et ne jamais exposer de secret dans le dépôt public. Ne pas choisir ce fournisseur à la place de la propriétaire.</w:t>
      </w:r>
    </w:p>
    <w:p>
      <w:pPr>
        <w:pStyle w:val="Heading2"/>
        <w:keepNext/>
        <w:spacing w:after="120" w:before="250"/>
      </w:pPr>
      <w:r>
        <w:rPr>
          <w:rFonts w:ascii="Arial" w:cs="Arial" w:eastAsia="Arial" w:hAnsi="Arial"/>
          <w:b/>
          <w:bCs/>
          <w:color w:val="24160F"/>
          <w:sz w:val="25"/>
          <w:szCs w:val="25"/>
        </w:rPr>
        <w:t xml:space="preserve">Questions de clarification à poser avant de figer les exigences</w:t>
      </w:r>
    </w:p>
    <w:p>
      <w:pPr>
        <w:pStyle w:val="ListParagraph"/>
        <w:numPr>
          <w:ilvl w:val="0"/>
          <w:numId w:val="2"/>
        </w:numPr>
        <w:spacing w:after="90" w:line="290"/>
      </w:pPr>
      <w:r>
        <w:rPr>
          <w:rFonts w:ascii="Arial" w:cs="Arial" w:eastAsia="Arial" w:hAnsi="Arial"/>
          <w:color w:val="24160F"/>
          <w:sz w:val="21"/>
          <w:szCs w:val="21"/>
        </w:rPr>
        <w:t xml:space="preserve">Quel besoin précis l’administrateur doit-il accomplir après connexion : gérer produits/prix/photos/stock, publier le catalogue, consulter des demandes, ou autre chose ? Une commande n’est pas enregistrée par le site actuel.</w:t>
      </w:r>
    </w:p>
    <w:p>
      <w:pPr>
        <w:pStyle w:val="ListParagraph"/>
        <w:numPr>
          <w:ilvl w:val="0"/>
          <w:numId w:val="2"/>
        </w:numPr>
        <w:spacing w:after="90" w:line="290"/>
      </w:pPr>
      <w:r>
        <w:rPr>
          <w:rFonts w:ascii="Arial" w:cs="Arial" w:eastAsia="Arial" w:hAnsi="Arial"/>
          <w:color w:val="24160F"/>
          <w:sz w:val="21"/>
          <w:szCs w:val="21"/>
        </w:rPr>
        <w:t xml:space="preserve">La livraison demandée se limite-t-elle à l’écran de connexion, ou inclut-elle tableau de bord, gestion des comptes, API/backend et stockage ?</w:t>
      </w:r>
    </w:p>
    <w:p>
      <w:pPr>
        <w:pStyle w:val="ListParagraph"/>
        <w:numPr>
          <w:ilvl w:val="0"/>
          <w:numId w:val="2"/>
        </w:numPr>
        <w:spacing w:after="90" w:line="290"/>
      </w:pPr>
      <w:r>
        <w:rPr>
          <w:rFonts w:ascii="Arial" w:cs="Arial" w:eastAsia="Arial" w:hAnsi="Arial"/>
          <w:color w:val="24160F"/>
          <w:sz w:val="21"/>
          <w:szCs w:val="21"/>
        </w:rPr>
        <w:t xml:space="preserve">Qui peut se connecter : une propriétaire, plusieurs administrateurs, rôles différents ? Comment les comptes seront-ils créés, désactivés et réinitialisés ?</w:t>
      </w:r>
    </w:p>
    <w:p>
      <w:pPr>
        <w:pStyle w:val="ListParagraph"/>
        <w:numPr>
          <w:ilvl w:val="0"/>
          <w:numId w:val="2"/>
        </w:numPr>
        <w:spacing w:after="90" w:line="290"/>
      </w:pPr>
      <w:r>
        <w:rPr>
          <w:rFonts w:ascii="Arial" w:cs="Arial" w:eastAsia="Arial" w:hAnsi="Arial"/>
          <w:color w:val="24160F"/>
          <w:sz w:val="21"/>
          <w:szCs w:val="21"/>
        </w:rPr>
        <w:t xml:space="preserve">Quelle méthode d’authentification et quel fournisseur/hébergement sont souhaités ou déjà disponibles ? Faut-il conserver GitHub Pages pour la partie publique ?</w:t>
      </w:r>
    </w:p>
    <w:p>
      <w:pPr>
        <w:pStyle w:val="ListParagraph"/>
        <w:numPr>
          <w:ilvl w:val="0"/>
          <w:numId w:val="2"/>
        </w:numPr>
        <w:spacing w:after="90" w:line="290"/>
      </w:pPr>
      <w:r>
        <w:rPr>
          <w:rFonts w:ascii="Arial" w:cs="Arial" w:eastAsia="Arial" w:hAnsi="Arial"/>
          <w:color w:val="24160F"/>
          <w:sz w:val="21"/>
          <w:szCs w:val="21"/>
        </w:rPr>
        <w:t xml:space="preserve">Quels identifiants sont souhaités, et quelles règles de mot de passe, MFA, récupération et expiration de session la propriétaire accepte-t-elle ?</w:t>
      </w:r>
    </w:p>
    <w:p>
      <w:pPr>
        <w:pStyle w:val="ListParagraph"/>
        <w:numPr>
          <w:ilvl w:val="0"/>
          <w:numId w:val="2"/>
        </w:numPr>
        <w:spacing w:after="90" w:line="290"/>
      </w:pPr>
      <w:r>
        <w:rPr>
          <w:rFonts w:ascii="Arial" w:cs="Arial" w:eastAsia="Arial" w:hAnsi="Arial"/>
          <w:color w:val="24160F"/>
          <w:sz w:val="21"/>
          <w:szCs w:val="21"/>
        </w:rPr>
        <w:t xml:space="preserve">Après succès, vers quelle page l’utilisateur arrive-t-il ? Après échec, que doit afficher l’interface sans divulguer si le compte existe ?</w:t>
      </w:r>
    </w:p>
    <w:p>
      <w:pPr>
        <w:pStyle w:val="ListParagraph"/>
        <w:numPr>
          <w:ilvl w:val="0"/>
          <w:numId w:val="2"/>
        </w:numPr>
        <w:spacing w:after="90" w:line="290"/>
      </w:pPr>
      <w:r>
        <w:rPr>
          <w:rFonts w:ascii="Arial" w:cs="Arial" w:eastAsia="Arial" w:hAnsi="Arial"/>
          <w:color w:val="24160F"/>
          <w:sz w:val="21"/>
          <w:szCs w:val="21"/>
        </w:rPr>
        <w:t xml:space="preserve">Quel niveau de sécurité opérationnel est requis : limitation des tentatives, journalisation, révocation des sessions, HTTPS, sauvegarde et gestion des incidents ?</w:t>
      </w:r>
    </w:p>
    <w:p>
      <w:pPr>
        <w:pStyle w:val="ListParagraph"/>
        <w:numPr>
          <w:ilvl w:val="0"/>
          <w:numId w:val="2"/>
        </w:numPr>
        <w:spacing w:after="90" w:line="290"/>
      </w:pPr>
      <w:r>
        <w:rPr>
          <w:rFonts w:ascii="Arial" w:cs="Arial" w:eastAsia="Arial" w:hAnsi="Arial"/>
          <w:color w:val="24160F"/>
          <w:sz w:val="21"/>
          <w:szCs w:val="21"/>
        </w:rPr>
        <w:t xml:space="preserve">Faut-il adapter strictement l’identité visuelle (logo, couleurs, polices) ou créer une variante plus discrète pour l’espace privé ?</w:t>
      </w:r>
    </w:p>
    <w:p>
      <w:pPr>
        <w:pStyle w:val="ListParagraph"/>
        <w:numPr>
          <w:ilvl w:val="0"/>
          <w:numId w:val="2"/>
        </w:numPr>
        <w:spacing w:after="90" w:line="290"/>
      </w:pPr>
      <w:r>
        <w:rPr>
          <w:rFonts w:ascii="Arial" w:cs="Arial" w:eastAsia="Arial" w:hAnsi="Arial"/>
          <w:color w:val="24160F"/>
          <w:sz w:val="21"/>
          <w:szCs w:val="21"/>
        </w:rPr>
        <w:t xml:space="preserve">La page doit-elle avoir une URL dédiée, être indexable ou non, et qui doit pouvoir la découvrir ?</w:t>
      </w:r>
    </w:p>
    <w:p>
      <w:pPr>
        <w:pStyle w:val="Heading1"/>
        <w:keepNext/>
        <w:spacing w:after="170" w:before="360"/>
      </w:pPr>
      <w:r>
        <w:rPr>
          <w:rFonts w:ascii="Arial" w:cs="Arial" w:eastAsia="Arial" w:hAnsi="Arial"/>
          <w:b/>
          <w:bCs/>
          <w:color w:val="FF5A1F"/>
          <w:sz w:val="32"/>
          <w:szCs w:val="32"/>
        </w:rPr>
        <w:t xml:space="preserve">9. Principes de sécurité à exiger dans le futur cahier des charges</w:t>
      </w:r>
    </w:p>
    <w:p>
      <w:pPr>
        <w:pStyle w:val="ListParagraph"/>
        <w:numPr>
          <w:ilvl/>
          <w:numId w:val="1"/>
        </w:numPr>
        <w:spacing w:after="70" w:line="280"/>
        <w:ind w:hanging="180"/>
      </w:pPr>
      <w:r>
        <w:rPr>
          <w:rFonts w:ascii="Arial" w:cs="Arial" w:eastAsia="Arial" w:hAnsi="Arial"/>
          <w:color w:val="24160F"/>
          <w:sz w:val="21"/>
          <w:szCs w:val="21"/>
        </w:rPr>
        <w:t xml:space="preserve">Aucun mot de passe, clé API, jeton, secret, compte ou donnée réelle dans HTML, CSS, JavaScript public, config.js, l’historique Git ou la documentation partagée.</w:t>
      </w:r>
    </w:p>
    <w:p>
      <w:pPr>
        <w:pStyle w:val="ListParagraph"/>
        <w:numPr>
          <w:ilvl/>
          <w:numId w:val="1"/>
        </w:numPr>
        <w:spacing w:after="70" w:line="280"/>
        <w:ind w:hanging="180"/>
      </w:pPr>
      <w:r>
        <w:rPr>
          <w:rFonts w:ascii="Arial" w:cs="Arial" w:eastAsia="Arial" w:hAnsi="Arial"/>
          <w:color w:val="24160F"/>
          <w:sz w:val="21"/>
          <w:szCs w:val="21"/>
        </w:rPr>
        <w:t xml:space="preserve">Vérification d’identité, autorisation et accès aux données/actions privées côté serveur ou via fournisseur d’identité; masquer un écran n’est pas une protection.</w:t>
      </w:r>
    </w:p>
    <w:p>
      <w:pPr>
        <w:pStyle w:val="ListParagraph"/>
        <w:numPr>
          <w:ilvl/>
          <w:numId w:val="1"/>
        </w:numPr>
        <w:spacing w:after="70" w:line="280"/>
        <w:ind w:hanging="180"/>
      </w:pPr>
      <w:r>
        <w:rPr>
          <w:rFonts w:ascii="Arial" w:cs="Arial" w:eastAsia="Arial" w:hAnsi="Arial"/>
          <w:color w:val="24160F"/>
          <w:sz w:val="21"/>
          <w:szCs w:val="21"/>
        </w:rPr>
        <w:t xml:space="preserve">Décrire traitement des identifiants, session/déconnexion, récupération, limitation des tentatives, réponses d’erreur non révélatrices, journaux sans secrets et exigences HTTPS. Les paramètres doivent être décidés ou laissés explicitement ouverts.</w:t>
      </w:r>
    </w:p>
    <w:p>
      <w:pPr>
        <w:pStyle w:val="ListParagraph"/>
        <w:numPr>
          <w:ilvl/>
          <w:numId w:val="1"/>
        </w:numPr>
        <w:spacing w:after="70" w:line="280"/>
        <w:ind w:hanging="180"/>
      </w:pPr>
      <w:r>
        <w:rPr>
          <w:rFonts w:ascii="Arial" w:cs="Arial" w:eastAsia="Arial" w:hAnsi="Arial"/>
          <w:color w:val="24160F"/>
          <w:sz w:val="21"/>
          <w:szCs w:val="21"/>
        </w:rPr>
        <w:t xml:space="preserve">Distinguer authentification (« qui est connecté ? ») et autorisation (« que peut-il faire ? »). Ne définir aucun rôle ou permission sans besoin confirmé.</w:t>
      </w:r>
    </w:p>
    <w:p>
      <w:pPr>
        <w:pStyle w:val="ListParagraph"/>
        <w:numPr>
          <w:ilvl/>
          <w:numId w:val="1"/>
        </w:numPr>
        <w:spacing w:after="70" w:line="280"/>
        <w:ind w:hanging="180"/>
      </w:pPr>
      <w:r>
        <w:rPr>
          <w:rFonts w:ascii="Arial" w:cs="Arial" w:eastAsia="Arial" w:hAnsi="Arial"/>
          <w:color w:val="24160F"/>
          <w:sz w:val="21"/>
          <w:szCs w:val="21"/>
        </w:rPr>
        <w:t xml:space="preserve">Évaluer données administratives, durée de conservation, accès, sauvegarde et suppression; minimiser les données personnelles.</w:t>
      </w:r>
    </w:p>
    <w:p>
      <w:pPr>
        <w:pStyle w:val="ListParagraph"/>
        <w:numPr>
          <w:ilvl/>
          <w:numId w:val="1"/>
        </w:numPr>
        <w:spacing w:after="70" w:line="280"/>
        <w:ind w:hanging="180"/>
      </w:pPr>
      <w:r>
        <w:rPr>
          <w:rFonts w:ascii="Arial" w:cs="Arial" w:eastAsia="Arial" w:hAnsi="Arial"/>
          <w:color w:val="24160F"/>
          <w:sz w:val="21"/>
          <w:szCs w:val="21"/>
        </w:rPr>
        <w:t xml:space="preserve">Demander à Claude de signaler dépendance, service payant, infrastructure ou migration avant implémentation.</w:t>
      </w:r>
    </w:p>
    <w:p>
      <w:pPr>
        <w:pStyle w:val="Heading1"/>
        <w:keepNext/>
        <w:spacing w:after="170" w:before="360"/>
      </w:pPr>
      <w:r>
        <w:rPr>
          <w:rFonts w:ascii="Arial" w:cs="Arial" w:eastAsia="Arial" w:hAnsi="Arial"/>
          <w:b/>
          <w:bCs/>
          <w:color w:val="FF5A1F"/>
          <w:sz w:val="32"/>
          <w:szCs w:val="32"/>
        </w:rPr>
        <w:t xml:space="preserve">10. Résultats attendus du cahier des charges</w:t>
      </w:r>
    </w:p>
    <w:p>
      <w:pPr>
        <w:spacing w:after="130" w:line="300"/>
      </w:pPr>
      <w:r>
        <w:rPr>
          <w:rFonts w:ascii="Arial" w:cs="Arial" w:eastAsia="Arial" w:hAnsi="Arial"/>
          <w:color w:val="24160F"/>
          <w:sz w:val="21"/>
          <w:szCs w:val="21"/>
        </w:rPr>
        <w:t xml:space="preserve">Après résolution des questions bloquantes, le cahier des charges destiné à Claude devrait contenir au minimum :</w:t>
      </w:r>
    </w:p>
    <w:p>
      <w:pPr>
        <w:pStyle w:val="ListParagraph"/>
        <w:numPr>
          <w:ilvl/>
          <w:numId w:val="1"/>
        </w:numPr>
        <w:spacing w:after="70" w:line="280"/>
        <w:ind w:hanging="180"/>
      </w:pPr>
      <w:r>
        <w:rPr>
          <w:rFonts w:ascii="Arial" w:cs="Arial" w:eastAsia="Arial" w:hAnsi="Arial"/>
          <w:color w:val="24160F"/>
          <w:sz w:val="21"/>
          <w:szCs w:val="21"/>
        </w:rPr>
        <w:t xml:space="preserve">Contexte, but utilisateur, acteurs, vocabulaire et différence entre site public et nouvel espace privé.</w:t>
      </w:r>
    </w:p>
    <w:p>
      <w:pPr>
        <w:pStyle w:val="ListParagraph"/>
        <w:numPr>
          <w:ilvl/>
          <w:numId w:val="1"/>
        </w:numPr>
        <w:spacing w:after="70" w:line="280"/>
        <w:ind w:hanging="180"/>
      </w:pPr>
      <w:r>
        <w:rPr>
          <w:rFonts w:ascii="Arial" w:cs="Arial" w:eastAsia="Arial" w:hAnsi="Arial"/>
          <w:color w:val="24160F"/>
          <w:sz w:val="21"/>
          <w:szCs w:val="21"/>
        </w:rPr>
        <w:t xml:space="preserve">Périmètre inclus/exclu, parcours complet de connexion, erreurs, succès, déconnexion, session expirée, récupération et destination après authentification.</w:t>
      </w:r>
    </w:p>
    <w:p>
      <w:pPr>
        <w:pStyle w:val="ListParagraph"/>
        <w:numPr>
          <w:ilvl/>
          <w:numId w:val="1"/>
        </w:numPr>
        <w:spacing w:after="70" w:line="280"/>
        <w:ind w:hanging="180"/>
      </w:pPr>
      <w:r>
        <w:rPr>
          <w:rFonts w:ascii="Arial" w:cs="Arial" w:eastAsia="Arial" w:hAnsi="Arial"/>
          <w:color w:val="24160F"/>
          <w:sz w:val="21"/>
          <w:szCs w:val="21"/>
        </w:rPr>
        <w:t xml:space="preserve">Règles métier décidées, données manipulées, validations, rôles/permissions si confirmés et cas limites.</w:t>
      </w:r>
    </w:p>
    <w:p>
      <w:pPr>
        <w:pStyle w:val="ListParagraph"/>
        <w:numPr>
          <w:ilvl/>
          <w:numId w:val="1"/>
        </w:numPr>
        <w:spacing w:after="70" w:line="280"/>
        <w:ind w:hanging="180"/>
      </w:pPr>
      <w:r>
        <w:rPr>
          <w:rFonts w:ascii="Arial" w:cs="Arial" w:eastAsia="Arial" w:hAnsi="Arial"/>
          <w:color w:val="24160F"/>
          <w:sz w:val="21"/>
          <w:szCs w:val="21"/>
        </w:rPr>
        <w:t xml:space="preserve">Architecture cible et responsabilités frontend/backend/fournisseur, persistance, hébergement, secrets et déploiement; contraintes GitHub Pages sans fausse compatibilité.</w:t>
      </w:r>
    </w:p>
    <w:p>
      <w:pPr>
        <w:pStyle w:val="ListParagraph"/>
        <w:numPr>
          <w:ilvl/>
          <w:numId w:val="1"/>
        </w:numPr>
        <w:spacing w:after="70" w:line="280"/>
        <w:ind w:hanging="180"/>
      </w:pPr>
      <w:r>
        <w:rPr>
          <w:rFonts w:ascii="Arial" w:cs="Arial" w:eastAsia="Arial" w:hAnsi="Arial"/>
          <w:color w:val="24160F"/>
          <w:sz w:val="21"/>
          <w:szCs w:val="21"/>
        </w:rPr>
        <w:t xml:space="preserve">Sécurité, confidentialité, accessibilité clavier/lecteur d’écran, responsive mobile, mouvement réduit et états de chargement/succès/erreur/indisponibilité.</w:t>
      </w:r>
    </w:p>
    <w:p>
      <w:pPr>
        <w:pStyle w:val="ListParagraph"/>
        <w:numPr>
          <w:ilvl/>
          <w:numId w:val="1"/>
        </w:numPr>
        <w:spacing w:after="70" w:line="280"/>
        <w:ind w:hanging="180"/>
      </w:pPr>
      <w:r>
        <w:rPr>
          <w:rFonts w:ascii="Arial" w:cs="Arial" w:eastAsia="Arial" w:hAnsi="Arial"/>
          <w:color w:val="24160F"/>
          <w:sz w:val="21"/>
          <w:szCs w:val="21"/>
        </w:rPr>
        <w:t xml:space="preserve">Références UI à la vitrine : palette exacte, polices, logo et composants à réutiliser; URL et accès privé selon décision.</w:t>
      </w:r>
    </w:p>
    <w:p>
      <w:pPr>
        <w:pStyle w:val="ListParagraph"/>
        <w:numPr>
          <w:ilvl/>
          <w:numId w:val="1"/>
        </w:numPr>
        <w:spacing w:after="70" w:line="280"/>
        <w:ind w:hanging="180"/>
      </w:pPr>
      <w:r>
        <w:rPr>
          <w:rFonts w:ascii="Arial" w:cs="Arial" w:eastAsia="Arial" w:hAnsi="Arial"/>
          <w:color w:val="24160F"/>
          <w:sz w:val="21"/>
          <w:szCs w:val="21"/>
        </w:rPr>
        <w:t xml:space="preserve">Liste des fichiers concernés, dépendances/coûts, migration/rollback et compatibilité avec le site public.</w:t>
      </w:r>
    </w:p>
    <w:p>
      <w:pPr>
        <w:pStyle w:val="ListParagraph"/>
        <w:numPr>
          <w:ilvl/>
          <w:numId w:val="1"/>
        </w:numPr>
        <w:spacing w:after="70" w:line="280"/>
        <w:ind w:hanging="180"/>
      </w:pPr>
      <w:r>
        <w:rPr>
          <w:rFonts w:ascii="Arial" w:cs="Arial" w:eastAsia="Arial" w:hAnsi="Arial"/>
          <w:color w:val="24160F"/>
          <w:sz w:val="21"/>
          <w:szCs w:val="21"/>
        </w:rPr>
        <w:t xml:space="preserve">Critères d’acceptation et tests : identifiants valides/invalides, compte inconnu sans fuite, échecs répétés, session expirée, accès non autorisé, mobile, clavier, récupération et déploiement.</w:t>
      </w:r>
    </w:p>
    <w:p>
      <w:pPr>
        <w:pBdr>
          <w:left w:val="single" w:color="FF5A1F" w:sz="18" w:space="8"/>
        </w:pBdr>
        <w:shd w:fill="FFF4D6" w:val="clear"/>
        <w:spacing w:after="180" w:before="100"/>
        <w:ind w:left="200" w:right="120"/>
      </w:pPr>
      <w:r>
        <w:rPr>
          <w:rFonts w:ascii="Arial" w:cs="Arial" w:eastAsia="Arial" w:hAnsi="Arial"/>
          <w:b/>
          <w:bCs/>
          <w:color w:val="24160F"/>
          <w:sz w:val="21"/>
          <w:szCs w:val="21"/>
        </w:rPr>
        <w:t xml:space="preserve">Le cahier des charges doit signaler les points encore à décider et ne pas prétendre que l’authentification est fonctionnelle tant que le backend/fournisseur et la protection des données ne sont pas choisis.</w:t>
      </w:r>
    </w:p>
    <w:p>
      <w:pPr>
        <w:pStyle w:val="Heading1"/>
        <w:keepNext/>
        <w:spacing w:after="170" w:before="360"/>
      </w:pPr>
      <w:r>
        <w:rPr>
          <w:rFonts w:ascii="Arial" w:cs="Arial" w:eastAsia="Arial" w:hAnsi="Arial"/>
          <w:b/>
          <w:bCs/>
          <w:color w:val="FF5A1F"/>
          <w:sz w:val="32"/>
          <w:szCs w:val="32"/>
        </w:rPr>
        <w:t xml:space="preserve">11. Prompt prêt à copier dans ChatGPT</w:t>
      </w:r>
    </w:p>
    <w:p>
      <w:pPr>
        <w:spacing w:after="130" w:line="300"/>
      </w:pPr>
      <w:r>
        <w:rPr>
          <w:rFonts w:ascii="Arial" w:cs="Arial" w:eastAsia="Arial" w:hAnsi="Arial"/>
          <w:color w:val="24160F"/>
          <w:sz w:val="21"/>
          <w:szCs w:val="21"/>
        </w:rPr>
        <w:t xml:space="preserve">Joindre le présent document à ChatGPT et copier le bloc ci-dessous. Il demande une étape d’analyse fonctionnelle seulement et empêche la génération prématurée du code.</w:t>
      </w:r>
    </w:p>
    <w:p>
      <w:pPr>
        <w:shd w:fill="F7F1E7" w:val="clear"/>
        <w:spacing w:after="40" w:line="260"/>
        <w:ind w:left="180" w:right="120"/>
      </w:pPr>
      <w:r>
        <w:rPr>
          <w:rFonts w:ascii="Consolas" w:cs="Consolas" w:eastAsia="Consolas" w:hAnsi="Consolas"/>
          <w:color w:val="24160F"/>
          <w:sz w:val="18"/>
          <w:szCs w:val="18"/>
        </w:rPr>
        <w:t xml:space="preserve">Tu es analyste fonctionnel pour un seul projet : « Les collations de Maman Tokpa », site vitrine ivoirien à Abidjan. Le document joint est la référence; les sources actuelles du dépôt maman-marie priment sur les archives.</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Ma demande : préparer le cahier des charges d’une future page de connexion administrateur, que je transmettrai ensuite à Claude pour réaliser le code.</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Cloisonnement impératif : ne mélange pas ce projet avec un autre site, dépôt, marque ou conversation. La marque est Maman Tokpa; le dépôt est LILSTONE225/maman-marie. Reprends uniquement l’identité visuelle pertinente du site (couleurs, polices, logo, structure générale) sans copier des contenus hors sujet.</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Faits actuels : le site public est une vitrine HTML/CSS/JavaScript statique publiée par GitHub Pages depuis maman-marie/. Il n’y a actuellement ni panneau d’administration ni backend actif. L’historique contient des prototypes administratifs supprimés; ne les traite pas comme existants ou comme décision de fournisseur. Le site public n’enregistre pas les commandes. Le document décrit les couleurs, sections, produits et comportements vérifiés.</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Ne présume pas du rôle de l’administrateur, du contenu du tableau de bord, des opérations produits, des comptes/rôles, des identifiants, du fournisseur d’authentification, du backend, de l’hébergement, des règles de mot de passe, de la récupération, du MFA ou de la durée de session. Une connexion réelle ne peut pas être protégée par du JavaScript seul; GitHub Pages ne fournit pas à lui seul de backend sécurisé.</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Étape actuelle : ne génère aucun code et ne modifie aucun fichier. Distingue explicitement les faits vérifiés, la nouvelle demande, les hypothèses et les décisions manquantes. Commence par poser les questions nécessaires, regroupées et compréhensibles, notamment sur les tâches après connexion, le périmètre (page seule ou backend/espace admin), les utilisateurs/permissions, le fournisseur/architecture, les données, les parcours erreur/récupération et la sécurité/confidentialité. Si tu proposes une option, explique les compromis et demande mon accord; ne choisis pas à ma place.</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Après mes réponses seulement, rédige un cahier des charges fonctionnel et technique sans code : objectif, utilisateurs, inclusions/exclusions, parcours, écrans/états, règles, données/validations, architecture et responsabilités, sécurité/confidentialité, accessibilité/mobile, direction visuelle fondée sur la vitrine, fichiers impactés, dépendances/coûts, critères d’acceptation testables, tests/régressions, déploiement et rollback. Marque tout point non décidé et n’invente aucune règle commerciale ni donnée. Termine en demandant mon approbation avant toute génération de code.</w:t>
      </w:r>
    </w:p>
    <w:p>
      <w:pPr>
        <w:shd w:fill="F7F1E7" w:val="clear"/>
        <w:spacing w:after="40" w:line="260"/>
        <w:ind w:left="180" w:right="120"/>
      </w:pPr>
      <w:r>
        <w:rPr>
          <w:rFonts w:ascii="Consolas" w:cs="Consolas" w:eastAsia="Consolas" w:hAnsi="Consolas"/>
          <w:color w:val="24160F"/>
          <w:sz w:val="18"/>
          <w:szCs w:val="18"/>
        </w:rPr>
        <w:t xml:space="preserve"> </w:t>
      </w:r>
    </w:p>
    <w:p>
      <w:pPr>
        <w:shd w:fill="F7F1E7" w:val="clear"/>
        <w:spacing w:after="40" w:line="260"/>
        <w:ind w:left="180" w:right="120"/>
      </w:pPr>
      <w:r>
        <w:rPr>
          <w:rFonts w:ascii="Consolas" w:cs="Consolas" w:eastAsia="Consolas" w:hAnsi="Consolas"/>
          <w:color w:val="24160F"/>
          <w:sz w:val="18"/>
          <w:szCs w:val="18"/>
        </w:rPr>
        <w:t xml:space="preserve">Le document approuvé sera transmis à Claude pour l’implémentation dans le dépôt existant. Le code devra respecter exactement le périmètre et les décisions approuvés.</w:t>
      </w:r>
    </w:p>
    <w:p>
      <w:pPr>
        <w:pStyle w:val="Heading1"/>
        <w:keepNext/>
        <w:spacing w:after="170" w:before="360"/>
      </w:pPr>
      <w:r>
        <w:rPr>
          <w:rFonts w:ascii="Arial" w:cs="Arial" w:eastAsia="Arial" w:hAnsi="Arial"/>
          <w:b/>
          <w:bCs/>
          <w:color w:val="FF5A1F"/>
          <w:sz w:val="32"/>
          <w:szCs w:val="32"/>
        </w:rPr>
        <w:t xml:space="preserve">12. Références et limites de cette édition</w:t>
      </w:r>
    </w:p>
    <w:p>
      <w:pPr>
        <w:spacing w:after="130" w:line="300"/>
      </w:pPr>
      <w:r>
        <w:rPr>
          <w:rFonts w:ascii="Arial" w:cs="Arial" w:eastAsia="Arial" w:hAnsi="Arial"/>
          <w:color w:val="24160F"/>
          <w:sz w:val="21"/>
          <w:szCs w:val="21"/>
        </w:rPr>
        <w:t xml:space="preserve">Sources examinées : maman-marie/README.md, index.html, assets/js/config.js, assets/js/main.js, assets/css/styles.css, .github/workflows/pages.yml et historique Git local. Les informations produit sont rapportées telles que configurées; elles ne confirment pas les tarifs auprès de la propriétaire.</w:t>
      </w:r>
    </w:p>
    <w:p>
      <w:pPr>
        <w:spacing w:after="130" w:line="300"/>
      </w:pPr>
      <w:r>
        <w:rPr>
          <w:rFonts w:ascii="Arial" w:cs="Arial" w:eastAsia="Arial" w:hAnsi="Arial"/>
          <w:color w:val="24160F"/>
          <w:sz w:val="21"/>
          <w:szCs w:val="21"/>
        </w:rPr>
        <w:t xml:space="preserve">Instantané historique local observé : 4716b97, 18 octobre 2026. Un document de contexte antérieur cite également cette référence. Les branches distantes, fournisseurs actifs, paramètres secrets et services externes ne sont pas audités. Vérifier l’état du dépôt et du déploiement au moment de la mise en œuvre.</w:t>
      </w:r>
    </w:p>
    <w:p>
      <w:pPr>
        <w:spacing w:after="130" w:line="300"/>
      </w:pPr>
      <w:r>
        <w:rPr>
          <w:rFonts w:ascii="Arial" w:cs="Arial" w:eastAsia="Arial" w:hAnsi="Arial"/>
          <w:color w:val="24160F"/>
          <w:sz w:val="21"/>
          <w:szCs w:val="21"/>
        </w:rPr>
        <w:t xml:space="preserve">Ce document n’est ni le cahier des charges final de l’authentification, ni un audit de sécurité, ni une autorisation de rétablir un prototype historique. Il sert de contexte fiable et de garde-fou pour la phase de questions et de spécification.</w:t>
      </w:r>
    </w:p>
    <w:sectPr>
      <w:headerReference w:type="default" r:id="rId6"/>
      <w:footerReference w:type="default" r:id="rId7"/>
      <w:pgSz w:w="11906" w:h="16838" w:orient="portrait"/>
      <w:pgMar w:top="900" w:right="950" w:bottom="900" w:left="9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5B50"/>
        <w:sz w:val="16"/>
        <w:szCs w:val="16"/>
      </w:rPr>
      <w:t xml:space="preserve">Contexte projet — 18 octobre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5B50"/>
        <w:sz w:val="16"/>
        <w:szCs w:val="16"/>
      </w:rPr>
      <w:t xml:space="preserve">LES COLLATIONS DE MAMAN TOKPA  |  DOCUMENT DE RÉFÉRENCE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160F"/>
        <w:sz w:val="21"/>
        <w:szCs w:val="21"/>
      </w:rPr>
    </w:rPrDefault>
    <w:pPrDefault>
      <w:pPr>
        <w:spacing w:after="13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70" w:before="360"/>
    </w:pPr>
    <w:rPr>
      <w:rFonts w:ascii="Arial" w:cs="Arial" w:eastAsia="Arial" w:hAnsi="Arial"/>
      <w:b/>
      <w:bCs/>
      <w:color w:val="FF5A1F"/>
      <w:sz w:val="32"/>
      <w:szCs w:val="32"/>
    </w:rPr>
  </w:style>
  <w:style w:type="paragraph" w:styleId="Heading2">
    <w:name w:val="Heading 2"/>
    <w:basedOn w:val="Normal"/>
    <w:next w:val="Normal"/>
    <w:qFormat/>
    <w:pPr>
      <w:keepNext/>
      <w:spacing w:after="120" w:before="250"/>
    </w:pPr>
    <w:rPr>
      <w:rFonts w:ascii="Arial" w:cs="Arial" w:eastAsia="Arial" w:hAnsi="Arial"/>
      <w:b/>
      <w:bCs/>
      <w:color w:val="24160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Genèse du projet et contexte — connexion administrateur</dc:title>
  <dc:subject>Référence pour préparer le cahier des charges de la future page de connexion administrateur</dc:subject>
  <dc:creator>Les collations de Maman Tokpa</dc:creator>
  <dc:description>Faits vérifiés, historique, identité du site et prompt de cadrage pour ChatGPT.</dc:description>
  <cp:lastModifiedBy>Un-named</cp:lastModifiedBy>
  <cp:revision>1</cp:revision>
  <dcterms:created xsi:type="dcterms:W3CDTF">2026-10-18T14:47:33.496Z</dcterms:created>
  <dcterms:modified xsi:type="dcterms:W3CDTF">2026-10-18T14:47:33.498Z</dcterms:modified>
</cp:coreProperties>
</file>

<file path=docProps/custom.xml><?xml version="1.0" encoding="utf-8"?>
<Properties xmlns="http://schemas.openxmlformats.org/officeDocument/2006/custom-properties" xmlns:vt="http://schemas.openxmlformats.org/officeDocument/2006/docPropsVTypes"/>
</file>