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Times New Roman" w:cs="Times New Roman" w:eastAsia="SimHei" w:hAnsi="Times New Roman"/>
          <w:b/>
          <w:bCs/>
          <w:sz w:val="40"/>
          <w:szCs w:val="40"/>
        </w:rPr>
        <w:t xml:space="preserve">SmartFarmAgent 导师汇报与参赛准备要点</w:t>
      </w:r>
    </w:p>
    <w:p>
      <w:pPr>
        <w:spacing w:after="8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2026-08-10 现场汇报  |  配套方案 v1.7.1</w:t>
      </w:r>
    </w:p>
    <w:p>
      <w:pPr>
        <w:pBdr>
          <w:bottom w:val="single" w:color="404040" w:sz="6" w:space="1"/>
        </w:pBdr>
        <w:spacing w:after="80"/>
      </w:pP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一、汇报结构（建议 5 分钟）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一句话定位：以 STM32 为感知执行端、云端大模型智能体为决策大脑，实现“感知 → 决策 → 执行”全闭环的智慧农业系统。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为什么做：农业农村部 2026 智慧农业创新大赛六大赛道集中在智能体、IoT、机器人方向，强调感知、决策、执行一体化；行业痛点（人工巡检、病害滞后、水肥浪费）与企业级平台重软件集成、大模型停在问答层的问题仍待解决。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怎么做：六层架构（感知执行 → 通信 → 边缘 → 云平台 → 智能决策 → 展示），智能体输出 JSON 设备指令，本地规则优先兜底。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做到哪：已有 SmartAgriculture 雏形（STM32 传感器、继电器、OLED、串口协议），已学 GPIO、ADC、I2C、SPI、DMA、串口；方案 v1.6 已按行业案例细化。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下一步：启动 M1 感知-控制闭环（第 3—6 周），同步搭建 Python、YOLO、Dify 环境。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二、电梯版话术（30 秒）</w:t>
      </w:r>
    </w:p>
    <w:p>
      <w:pPr>
        <w:spacing w:after="0" w:before="0" w:line="360"/>
        <w:ind w:firstLineChars="20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面向 2026 智慧农业创新大赛的智能体、IoT 方向，本项目用低成本硬件原型实现“感知—决策—执行”闭环：STM32 采集土壤、光照、温湿度，ESP32-CAM 拍照做病害识别，云端智能体综合判断后下发设备指令，本地规则永远优先兜底。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三、导师可能问的问题与应对</w:t>
      </w:r>
    </w:p>
    <w:tbl>
      <w:tblPr>
        <w:tblW w:type="dxa" w:w="9072"/>
        <w:tblBorders>
          <w:top w:val="single" w:color="000000" w:sz="12" w:space="0"/>
          <w:left w:val="none"/>
          <w:bottom w:val="single" w:color="000000" w:sz="12" w:space="0"/>
          <w:right w:val="none"/>
          <w:insideH w:val="none"/>
          <w:insideV w:val="none"/>
        </w:tblBorders>
      </w:tblPr>
      <w:tblGrid>
        <w:gridCol w:w="3400"/>
        <w:gridCol w:w="5672"/>
      </w:tblGrid>
      <w:tr>
        <w:trPr>
          <w:tblHeader/>
        </w:trPr>
        <w:tc>
          <w:tcPr>
            <w:tcW w:type="dxa" w:w="3400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问题</w:t>
            </w:r>
          </w:p>
        </w:tc>
        <w:tc>
          <w:tcPr>
            <w:tcW w:type="dxa" w:w="5672"/>
            <w:tcBorders>
              <w:bottom w:val="single" w:color="000000" w:sz="6" w:space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Hei" w:hAnsi="Times New Roman"/>
                <w:b w:val="false"/>
                <w:bCs w:val="false"/>
                <w:sz w:val="21"/>
                <w:szCs w:val="21"/>
              </w:rPr>
              <w:t xml:space="preserve">应对</w:t>
            </w:r>
          </w:p>
        </w:tc>
      </w:tr>
      <w:tr>
        <w:tc>
          <w:tcPr>
            <w:tcW w:type="dxa" w:w="3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和市面企业级智慧农业平台有什么区别？</w:t>
            </w:r>
          </w:p>
        </w:tc>
        <w:tc>
          <w:tcPr>
            <w:tcW w:type="dxa" w:w="56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企业平台重软件集成、依赖专业团队；本项目做低成本硬件闭环原型，验证“智能决策→设备执行”这一最难落地的环节，硬件成本低、可复制</w:t>
            </w:r>
          </w:p>
        </w:tc>
      </w:tr>
      <w:tr>
        <w:tc>
          <w:tcPr>
            <w:tcW w:type="dxa" w:w="3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为什么用大模型决策，阈值规则不够吗？</w:t>
            </w:r>
          </w:p>
        </w:tc>
        <w:tc>
          <w:tcPr>
            <w:tcW w:type="dxa" w:w="56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阈值只能处理单因子场景；智能体综合多传感器、视觉和历史数据，输出可解释指令，还能承担农技问答；本地规则仍优先兜底</w:t>
            </w:r>
          </w:p>
        </w:tc>
      </w:tr>
      <w:tr>
        <w:tc>
          <w:tcPr>
            <w:tcW w:type="dxa" w:w="3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视觉识别效果怎么保证？</w:t>
            </w:r>
          </w:p>
        </w:tc>
        <w:tc>
          <w:tcPr>
            <w:tcW w:type="dxa" w:w="56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PlantDoc、PlantVillage 公开数据集预训练加自采微调，范围先缩到 3—5 类常见病害；初期云端推理，边缘只拍照</w:t>
            </w:r>
          </w:p>
        </w:tc>
      </w:tr>
      <w:tr>
        <w:tc>
          <w:tcPr>
            <w:tcW w:type="dxa" w:w="3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时间和考研并行，怎么保证进度？</w:t>
            </w:r>
          </w:p>
        </w:tc>
        <w:tc>
          <w:tcPr>
            <w:tcW w:type="dxa" w:w="56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主线 M1—M2 必保（本地闭环加上云）；M3、M4 有明确降级方案（合并施肥、给药，生长分析降级为拍照加周报）</w:t>
            </w:r>
          </w:p>
        </w:tc>
      </w:tr>
      <w:tr>
        <w:tc>
          <w:tcPr>
            <w:tcW w:type="dxa" w:w="3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预算和器件？</w:t>
            </w:r>
          </w:p>
        </w:tc>
        <w:tc>
          <w:tcPr>
            <w:tcW w:type="dxa" w:w="56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硬件 15 项清单，多数已有，总成本低；软件全部开源免费</w:t>
            </w:r>
          </w:p>
        </w:tc>
      </w:tr>
      <w:tr>
        <w:tc>
          <w:tcPr>
            <w:tcW w:type="dxa" w:w="3400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相对企业级平台，创新点在哪？</w:t>
            </w:r>
          </w:p>
        </w:tc>
        <w:tc>
          <w:tcPr>
            <w:tcW w:type="dxa" w:w="5672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全链路自研、边缘-云协同、断网兜底、低成本可复制；企业方案偏平台集成，本项目偏硬件闭环实现</w:t>
            </w:r>
          </w:p>
        </w:tc>
      </w:tr>
    </w:tbl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四、需要和导师对齐的事项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项目边界：确认“最小闭环原型”的定位，不做全平台。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里程碑节奏：24 周是否与学期安排匹配（M1 在第 3—6 周）。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资源：实验室是否有可用的温室或场地，已有器件清单是否需要补充。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参赛定位：建议主攻「设施小番茄采摘机器人」赛道（场景与链路契合度最高），备选「智能农机作业控制」；按单一赛道包装时，把喷药、浇水执行器替换为采摘装置即可。</w:t>
      </w:r>
    </w:p>
    <w:p>
      <w:pPr>
        <w:pStyle w:val="Heading1"/>
        <w:keepNext/>
        <w:spacing w:after="90" w:before="180" w:line="360"/>
      </w:pPr>
      <w:r>
        <w:rPr>
          <w:rFonts w:ascii="Times New Roman" w:cs="Times New Roman" w:eastAsia="SimHei" w:hAnsi="Times New Roman"/>
          <w:b w:val="false"/>
          <w:bCs w:val="false"/>
          <w:sz w:val="32"/>
          <w:szCs w:val="32"/>
        </w:rPr>
        <w:t xml:space="preserve">五、汇报后立即启动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M1：整理 SmartAgriculture 代码，跑通 传感器采集 → OLED → 继电器 → 串口帧协议 → LabVIEW。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搭建 Python + YOLOv8 + Dify 环境，注册 EMQX、OneNET。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学完 I2C，修复 BH1750 开漏问题；SPI 接入 W25Q64。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梳理大赛报名与材料要求（报名表、说明书、演示视频），确定主攻赛道与作品叙事。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SimHei" w:hAnsi="Times New Roman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SimHei" w:hAnsi="Times New Roman"/>
      <w:b w:val="false"/>
      <w:bCs w:val="fals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SmartFarmAgent 导师汇报与参赛准备要点</dc:title>
  <dc:subject>2026-08-10 现场汇报</dc:subject>
  <dc:creator>LIM</dc:creator>
  <cp:lastModifiedBy>Un-named</cp:lastModifiedBy>
  <cp:revision>1</cp:revision>
  <dcterms:created xsi:type="dcterms:W3CDTF">2026-08-09T13:26:59.356Z</dcterms:created>
  <dcterms:modified xsi:type="dcterms:W3CDTF">2026-08-09T13:26:59.357Z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