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0"/>
          <w:szCs w:val="40"/>
        </w:rPr>
        <w:t xml:space="preserve">SmartFarmAgent 导师汇报与参赛准备要点</w:t>
      </w:r>
    </w:p>
    <w:p>
      <w:pPr>
        <w:spacing w:after="80"/>
        <w:jc w:val="center"/>
      </w:pPr>
      <w:r>
        <w:rPr>
          <w:rFonts w:ascii="Times New Roman" w:cs="Times New Roman" w:eastAsia="SimSun" w:hAnsi="Times New Roman"/>
          <w:sz w:val="22"/>
          <w:szCs w:val="22"/>
        </w:rPr>
        <w:t xml:space="preserve">2026-08-10 现场汇报  |  配套方案 v1.7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一、汇报结构（建议 5 分钟）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一句话定位：以 STM32 为感知执行端、云端大模型智能体为决策大脑，实现“感知 → 决策 → 执行”全闭环的智慧农业系统。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为什么做：农业农村部 2026 智慧农业创新大赛六大赛道集中在智能体、IoT、机器人方向，强调感知、决策、执行一体化；行业痛点（人工巡检、病害滞后、水肥浪费）与企业级平台重软件集成、大模型停在问答层的问题仍待解决。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怎么做：六层架构（感知执行 → 通信 → 边缘 → 云平台 → 智能决策 → 展示），智能体输出 JSON 设备指令，本地规则优先兜底。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做到哪：已有 SmartAgriculture 雏形（STM32 传感器、继电器、OLED、串口协议），已学 GPIO、ADC、I2C、SPI、DMA、串口；方案 v1.6 已按行业案例细化。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下一步：启动 M1 感知-控制闭环（第 3—6 周），同步搭建 Python、YOLO、Dify 环境。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二、电梯版话术（30 秒）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面向 2026 智慧农业创新大赛的智能体、IoT 方向，本项目用低成本硬件原型实现“感知—决策—执行”闭环：STM32 采集土壤、光照、温湿度，ESP32-CAM 拍照做病害识别，云端智能体综合判断后下发设备指令，本地规则永远优先兜底。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三、导师可能问的问题与应对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400"/>
        <w:gridCol w:w="5672"/>
      </w:tblGrid>
      <w:tr>
        <w:trPr>
          <w:tblHeader/>
        </w:trPr>
        <w:tc>
          <w:tcPr>
            <w:tcW w:type="dxa" w:w="3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问题</w:t>
            </w:r>
          </w:p>
        </w:tc>
        <w:tc>
          <w:tcPr>
            <w:tcW w:type="dxa" w:w="56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和市面企业级智慧农业平台有什么区别？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企业平台重软件集成、依赖专业团队；本项目做低成本硬件闭环原型，验证“智能决策→设备执行”这一最难落地的环节，硬件成本低、可复制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为什么用大模型决策，阈值规则不够吗？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阈值只能处理单因子场景；智能体综合多传感器、视觉和历史数据，输出可解释指令，还能承担农技问答；本地规则仍优先兜底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视觉识别效果怎么保证？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PlantDoc、PlantVillage 公开数据集预训练加自采微调，范围先缩到 3—5 类常见病害；初期云端推理，边缘只拍照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时间和考研并行，怎么保证进度？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主线 M1—M2 必保（本地闭环加上云）；M3、M4 有明确降级方案（合并施肥、给药，生长分析降级为拍照加周报）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预算和器件？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硬件 15 项清单，多数已有，总成本低；软件全部开源免费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相对企业级平台，创新点在哪？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全链路自研、边缘-云协同、断网兜底、低成本可复制；企业方案偏平台集成，本项目偏硬件闭环实现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四、需要和导师对齐的事项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项目边界：确认“最小闭环原型”的定位，不做全平台。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里程碑节奏：24 周是否与学期安排匹配（M1 在第 3—6 周）。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资源：实验室是否有可用的温室或场地，已有器件清单是否需要补充。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参赛定位：是否按智慧农业创新大赛方向包装作品（闭环能力原型，还是按单一赛道做成具体作品）。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五、汇报后立即启动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M1：整理 SmartAgriculture 代码，跑通 传感器采集 → OLED → 继电器 → 串口帧协议 → LabVIEW。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+ Dify 环境，注册 EMQX、OneNET。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学完 I2C，修复 BH1750 开漏问题；SPI 接入 W25Q64。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梳理大赛报名与材料要求（报名表、说明书、演示视频），确定主攻赛道与作品叙事。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导师汇报与参赛准备要点</dc:title>
  <dc:subject>2026-08-10 现场汇报</dc:subject>
  <dc:creator>LIM</dc:creator>
  <cp:lastModifiedBy>Un-named</cp:lastModifiedBy>
  <cp:revision>1</cp:revision>
  <dcterms:created xsi:type="dcterms:W3CDTF">2026-08-09T13:18:45.666Z</dcterms:created>
  <dcterms:modified xsi:type="dcterms:W3CDTF">2026-08-09T13:18:45.667Z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