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 w:before="120"/>
        <w:jc w:val="center"/>
      </w:pPr>
      <w:r>
        <w:rPr>
          <w:rFonts w:ascii="Times New Roman" w:cs="Times New Roman" w:eastAsia="SimHei" w:hAnsi="Times New Roman"/>
          <w:b/>
          <w:bCs/>
          <w:sz w:val="44"/>
          <w:szCs w:val="44"/>
        </w:rPr>
        <w:t xml:space="preserve">SmartFarmAgent 智慧农业智能体系统</w:t>
      </w:r>
    </w:p>
    <w:p>
      <w:pPr>
        <w:spacing w:after="80"/>
        <w:jc w:val="center"/>
      </w:pPr>
      <w:r>
        <w:rPr>
          <w:rFonts w:ascii="Times New Roman" w:cs="Times New Roman" w:eastAsia="SimHei" w:hAnsi="Times New Roman"/>
          <w:b w:val="false"/>
          <w:bCs w:val="false"/>
          <w:sz w:val="32"/>
          <w:szCs w:val="32"/>
        </w:rPr>
        <w:t xml:space="preserve">项目方案</w:t>
      </w:r>
    </w:p>
    <w:p>
      <w:pPr>
        <w:pBdr>
          <w:bottom w:val="single" w:color="404040" w:sz="6" w:space="1"/>
        </w:pBdr>
        <w:spacing w:after="80"/>
      </w:pPr>
    </w:p>
    <w:p>
      <w:pPr>
        <w:pStyle w:val="Heading1"/>
        <w:keepNext/>
        <w:spacing w:after="90" w:before="180" w:line="360"/>
      </w:pPr>
      <w:r>
        <w:rPr>
          <w:rFonts w:ascii="Times New Roman" w:cs="Times New Roman" w:eastAsia="SimHei" w:hAnsi="Times New Roman"/>
          <w:b w:val="false"/>
          <w:bCs w:val="false"/>
          <w:sz w:val="32"/>
          <w:szCs w:val="32"/>
        </w:rPr>
        <w:t xml:space="preserve">1. 项目背景与痛点</w:t>
      </w:r>
    </w:p>
    <w:p>
      <w:pPr>
        <w:pStyle w:val="ListParagraph"/>
        <w:numPr>
          <w:ilvl w:val="0"/>
          <w:numId w:val="2"/>
        </w:numPr>
        <w:spacing w:after="0" w:line="360"/>
        <w:jc w:val="both"/>
      </w:pPr>
      <w:r>
        <w:rPr>
          <w:rFonts w:ascii="Times New Roman" w:cs="Times New Roman" w:eastAsia="SimSun" w:hAnsi="Times New Roman"/>
          <w:color w:val="000000"/>
          <w:sz w:val="24"/>
          <w:szCs w:val="24"/>
        </w:rPr>
        <w:t xml:space="preserve">行业痛点：传统种养管理依赖人工巡检与经验调控，存在病害发现滞后、水肥浪费、环境调控不及时等问题；企业级智慧农业平台功能完整但重软件集成、成本高，市面常见产品以阈值规则控制为主，大模型应用停留在“知识问答”层，均未把智能决策闭环到设备执行。</w:t>
      </w:r>
    </w:p>
    <w:p>
      <w:pPr>
        <w:pStyle w:val="ListParagraph"/>
        <w:numPr>
          <w:ilvl w:val="0"/>
          <w:numId w:val="2"/>
        </w:numPr>
        <w:spacing w:after="0" w:line="360"/>
        <w:jc w:val="both"/>
      </w:pPr>
      <w:r>
        <w:rPr>
          <w:rFonts w:ascii="Times New Roman" w:cs="Times New Roman" w:eastAsia="SimSun" w:hAnsi="Times New Roman"/>
          <w:color w:val="000000"/>
          <w:sz w:val="24"/>
          <w:szCs w:val="24"/>
        </w:rPr>
        <w:t xml:space="preserve">竞赛方向：农业农村部 2026 年智慧农业创新大赛六大赛道（智能农机作业控制、无人机巡田、激光除草机器人、设施小番茄采摘机器人、家禽巡检机器人、鱼群智能检测装备）集中在“智能体 / IoT + 机器人”方向，强调感知、决策、执行一体化落地。</w:t>
      </w:r>
    </w:p>
    <w:p>
      <w:pPr>
        <w:pStyle w:val="ListParagraph"/>
        <w:numPr>
          <w:ilvl w:val="0"/>
          <w:numId w:val="2"/>
        </w:numPr>
        <w:spacing w:after="0" w:line="360"/>
        <w:jc w:val="both"/>
      </w:pPr>
      <w:r>
        <w:rPr>
          <w:rFonts w:ascii="Times New Roman" w:cs="Times New Roman" w:eastAsia="SimSun" w:hAnsi="Times New Roman"/>
          <w:color w:val="000000"/>
          <w:sz w:val="24"/>
          <w:szCs w:val="24"/>
        </w:rPr>
        <w:t xml:space="preserve">技术窗口：农业开源大模型与 RAG 框架成熟可用（司农、Dify、RAGFlow 等），硬件成本低，整条链路可以自研，适合以低成本原型参赛。</w:t>
      </w:r>
    </w:p>
    <w:p>
      <w:pPr>
        <w:pStyle w:val="Heading1"/>
        <w:keepNext/>
        <w:spacing w:after="90" w:before="180" w:line="360"/>
      </w:pPr>
      <w:r>
        <w:rPr>
          <w:rFonts w:ascii="Times New Roman" w:cs="Times New Roman" w:eastAsia="SimHei" w:hAnsi="Times New Roman"/>
          <w:b w:val="false"/>
          <w:bCs w:val="false"/>
          <w:sz w:val="32"/>
          <w:szCs w:val="32"/>
        </w:rPr>
        <w:t xml:space="preserve">2. 与 2026 智慧农业创新大赛的结合点</w:t>
      </w:r>
    </w:p>
    <w:p>
      <w:pPr>
        <w:spacing w:after="0" w:before="0" w:line="360"/>
        <w:ind w:firstLineChars="200"/>
        <w:jc w:val="both"/>
      </w:pPr>
      <w:r>
        <w:rPr>
          <w:rFonts w:ascii="Times New Roman" w:cs="Times New Roman" w:eastAsia="SimSun" w:hAnsi="Times New Roman"/>
          <w:color w:val="000000"/>
          <w:sz w:val="24"/>
          <w:szCs w:val="24"/>
        </w:rPr>
        <w:t xml:space="preserve">本项目以低成本硬件原型实现“感知—决策—执行”一体化闭环，与大赛各赛道对设备级智能化落地的要求契合。结合点如下：</w:t>
      </w:r>
    </w:p>
    <w:tbl>
      <w:tblPr>
        <w:tblW w:type="dxa" w:w="9072"/>
        <w:tblBorders>
          <w:top w:val="single" w:color="000000" w:sz="12" w:space="0"/>
          <w:left w:val="none"/>
          <w:bottom w:val="single" w:color="000000" w:sz="12" w:space="0"/>
          <w:right w:val="none"/>
          <w:insideH w:val="none"/>
          <w:insideV w:val="none"/>
        </w:tblBorders>
      </w:tblPr>
      <w:tblGrid>
        <w:gridCol w:w="2400"/>
        <w:gridCol w:w="3600"/>
        <w:gridCol w:w="3072"/>
      </w:tblGrid>
      <w:tr>
        <w:trPr>
          <w:tblHeader/>
        </w:trPr>
        <w:tc>
          <w:tcPr>
            <w:tcW w:type="dxa" w:w="2400"/>
            <w:tcBorders>
              <w:bottom w:val="single" w:color="000000" w:sz="6" w:space="0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SimHei" w:hAnsi="Times New Roman"/>
                <w:b w:val="false"/>
                <w:bCs w:val="false"/>
                <w:sz w:val="21"/>
                <w:szCs w:val="21"/>
              </w:rPr>
              <w:t xml:space="preserve">大赛赛道</w:t>
            </w:r>
          </w:p>
        </w:tc>
        <w:tc>
          <w:tcPr>
            <w:tcW w:type="dxa" w:w="3600"/>
            <w:tcBorders>
              <w:bottom w:val="single" w:color="000000" w:sz="6" w:space="0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SimHei" w:hAnsi="Times New Roman"/>
                <w:b w:val="false"/>
                <w:bCs w:val="false"/>
                <w:sz w:val="21"/>
                <w:szCs w:val="21"/>
              </w:rPr>
              <w:t xml:space="preserve">本项目对应能力</w:t>
            </w:r>
          </w:p>
        </w:tc>
        <w:tc>
          <w:tcPr>
            <w:tcW w:type="dxa" w:w="3072"/>
            <w:tcBorders>
              <w:bottom w:val="single" w:color="000000" w:sz="6" w:space="0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SimHei" w:hAnsi="Times New Roman"/>
                <w:b w:val="false"/>
                <w:bCs w:val="false"/>
                <w:sz w:val="21"/>
                <w:szCs w:val="21"/>
              </w:rPr>
              <w:t xml:space="preserve">结合说明</w:t>
            </w:r>
          </w:p>
        </w:tc>
      </w:tr>
      <w:tr>
        <w:tc>
          <w:tcPr>
            <w:tcW w:type="dxa" w:w="2400"/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智能农机作业控制</w:t>
            </w:r>
          </w:p>
        </w:tc>
        <w:tc>
          <w:tcPr>
            <w:tcW w:type="dxa" w:w="3600"/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STM32 设备控制链路（继电器/泵/灯/喷药）</w:t>
            </w:r>
          </w:p>
        </w:tc>
        <w:tc>
          <w:tcPr>
            <w:tcW w:type="dxa" w:w="3072"/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设备级“指令—执行—回传”闭环可迁移到农机作业控制单元</w:t>
            </w:r>
          </w:p>
        </w:tc>
      </w:tr>
      <w:tr>
        <w:tc>
          <w:tcPr>
            <w:tcW w:type="dxa" w:w="2400"/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无人机巡田解决方案</w:t>
            </w:r>
          </w:p>
        </w:tc>
        <w:tc>
          <w:tcPr>
            <w:tcW w:type="dxa" w:w="3600"/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视觉识别 + 智能体决策链路</w:t>
            </w:r>
          </w:p>
        </w:tc>
        <w:tc>
          <w:tcPr>
            <w:tcW w:type="dxa" w:w="3072"/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巡田影像的“识别—分析—处方”流程与本项目视觉+决策链路同构</w:t>
            </w:r>
          </w:p>
        </w:tc>
      </w:tr>
      <w:tr>
        <w:tc>
          <w:tcPr>
            <w:tcW w:type="dxa" w:w="2400"/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设施采摘、巡检机器人</w:t>
            </w:r>
          </w:p>
        </w:tc>
        <w:tc>
          <w:tcPr>
            <w:tcW w:type="dxa" w:w="3600"/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ESP32-CAM 视觉 + 执行器联动</w:t>
            </w:r>
          </w:p>
        </w:tc>
        <w:tc>
          <w:tcPr>
            <w:tcW w:type="dxa" w:w="3072"/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视觉识别触发设备动作的架构可复用到采摘、巡检场景</w:t>
            </w:r>
          </w:p>
        </w:tc>
      </w:tr>
      <w:tr>
        <w:tc>
          <w:tcPr>
            <w:tcW w:type="dxa" w:w="2400"/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家禽巡检、鱼群检测</w:t>
            </w:r>
          </w:p>
        </w:tc>
        <w:tc>
          <w:tcPr>
            <w:tcW w:type="dxa" w:w="3600"/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感知上云 + 异常告警 + 自动处置</w:t>
            </w:r>
          </w:p>
        </w:tc>
        <w:tc>
          <w:tcPr>
            <w:tcW w:type="dxa" w:w="3072"/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传感采集与云端判别的模式一致，更换传感器与模型即可适配</w:t>
            </w:r>
          </w:p>
        </w:tc>
      </w:tr>
    </w:tbl>
    <w:p>
      <w:pPr>
        <w:spacing w:after="60"/>
      </w:pPr>
    </w:p>
    <w:p>
      <w:pPr>
        <w:spacing w:after="0" w:before="0" w:line="360"/>
        <w:ind w:firstLineChars="200"/>
        <w:jc w:val="both"/>
      </w:pPr>
      <w:r>
        <w:rPr>
          <w:rFonts w:ascii="Times New Roman" w:cs="Times New Roman" w:eastAsia="SimSun" w:hAnsi="Times New Roman"/>
          <w:b/>
          <w:bCs/>
          <w:color w:val="000000"/>
          <w:sz w:val="24"/>
          <w:szCs w:val="24"/>
        </w:rPr>
        <w:t xml:space="preserve">定位：</w:t>
      </w:r>
      <w:r>
        <w:rPr>
          <w:rFonts w:ascii="Times New Roman" w:cs="Times New Roman" w:eastAsia="SimSun" w:hAnsi="Times New Roman"/>
          <w:color w:val="000000"/>
          <w:sz w:val="24"/>
          <w:szCs w:val="24"/>
        </w:rPr>
        <w:t xml:space="preserve">以 STM32 感知执行端 + 云端大模型智能体，做一个面向智慧农业竞赛与科研的低成本“闭环能力原型”，聚焦大模型决策到设备动作的完整链路，可针对具体赛道快速适配。</w:t>
      </w:r>
    </w:p>
    <w:p>
      <w:pPr>
        <w:pStyle w:val="Heading1"/>
        <w:keepNext/>
        <w:spacing w:after="90" w:before="180" w:line="360"/>
      </w:pPr>
      <w:r>
        <w:rPr>
          <w:rFonts w:ascii="Times New Roman" w:cs="Times New Roman" w:eastAsia="SimHei" w:hAnsi="Times New Roman"/>
          <w:b w:val="false"/>
          <w:bCs w:val="false"/>
          <w:sz w:val="32"/>
          <w:szCs w:val="32"/>
        </w:rPr>
        <w:t xml:space="preserve">2. 系统总体架构</w:t>
      </w:r>
    </w:p>
    <w:tbl>
      <w:tblPr>
        <w:tblW w:type="dxa" w:w="9072"/>
        <w:tblBorders>
          <w:top w:val="single" w:color="000000" w:sz="12" w:space="0"/>
          <w:left w:val="none"/>
          <w:bottom w:val="single" w:color="000000" w:sz="12" w:space="0"/>
          <w:right w:val="none"/>
          <w:insideH w:val="none"/>
          <w:insideV w:val="none"/>
        </w:tblBorders>
      </w:tblPr>
      <w:tblGrid>
        <w:gridCol w:w="800"/>
        <w:gridCol w:w="1800"/>
        <w:gridCol w:w="4600"/>
        <w:gridCol w:w="1872"/>
      </w:tblGrid>
      <w:tr>
        <w:trPr>
          <w:tblHeader/>
        </w:trPr>
        <w:tc>
          <w:tcPr>
            <w:tcW w:type="dxa" w:w="800"/>
            <w:tcBorders>
              <w:bottom w:val="single" w:color="000000" w:sz="6" w:space="0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SimHei" w:hAnsi="Times New Roman"/>
                <w:b w:val="false"/>
                <w:bCs w:val="false"/>
                <w:sz w:val="21"/>
                <w:szCs w:val="21"/>
              </w:rPr>
              <w:t xml:space="preserve">层级</w:t>
            </w:r>
          </w:p>
        </w:tc>
        <w:tc>
          <w:tcPr>
            <w:tcW w:type="dxa" w:w="1800"/>
            <w:tcBorders>
              <w:bottom w:val="single" w:color="000000" w:sz="6" w:space="0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SimHei" w:hAnsi="Times New Roman"/>
                <w:b w:val="false"/>
                <w:bCs w:val="false"/>
                <w:sz w:val="21"/>
                <w:szCs w:val="21"/>
              </w:rPr>
              <w:t xml:space="preserve">名称</w:t>
            </w:r>
          </w:p>
        </w:tc>
        <w:tc>
          <w:tcPr>
            <w:tcW w:type="dxa" w:w="4600"/>
            <w:tcBorders>
              <w:bottom w:val="single" w:color="000000" w:sz="6" w:space="0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SimHei" w:hAnsi="Times New Roman"/>
                <w:b w:val="false"/>
                <w:bCs w:val="false"/>
                <w:sz w:val="21"/>
                <w:szCs w:val="21"/>
              </w:rPr>
              <w:t xml:space="preserve">组成与职责</w:t>
            </w:r>
          </w:p>
        </w:tc>
        <w:tc>
          <w:tcPr>
            <w:tcW w:type="dxa" w:w="1872"/>
            <w:tcBorders>
              <w:bottom w:val="single" w:color="000000" w:sz="6" w:space="0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SimHei" w:hAnsi="Times New Roman"/>
                <w:b w:val="false"/>
                <w:bCs w:val="false"/>
                <w:sz w:val="21"/>
                <w:szCs w:val="21"/>
              </w:rPr>
              <w:t xml:space="preserve">关键技术</w:t>
            </w:r>
          </w:p>
        </w:tc>
      </w:tr>
      <w:tr>
        <w:tc>
          <w:tcPr>
            <w:tcW w:type="dxa" w:w="800"/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L6</w:t>
            </w:r>
          </w:p>
        </w:tc>
        <w:tc>
          <w:tcPr>
            <w:tcW w:type="dxa" w:w="1800"/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展示层</w:t>
            </w:r>
          </w:p>
        </w:tc>
        <w:tc>
          <w:tcPr>
            <w:tcW w:type="dxa" w:w="4600"/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微信小程序 / H5 大屏 / LabVIEW 上位机</w:t>
            </w:r>
          </w:p>
        </w:tc>
        <w:tc>
          <w:tcPr>
            <w:tcW w:type="dxa" w:w="1872"/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前端、上位机</w:t>
            </w:r>
          </w:p>
        </w:tc>
      </w:tr>
      <w:tr>
        <w:tc>
          <w:tcPr>
            <w:tcW w:type="dxa" w:w="800"/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L5</w:t>
            </w:r>
          </w:p>
        </w:tc>
        <w:tc>
          <w:tcPr>
            <w:tcW w:type="dxa" w:w="1800"/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智能决策层</w:t>
            </w:r>
          </w:p>
        </w:tc>
        <w:tc>
          <w:tcPr>
            <w:tcW w:type="dxa" w:w="4600"/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大模型智能体（LLM+RAG）→ JSON 设备指令 + 农技问答（核心创新）；视觉服务（YOLO 病害/生长分析）</w:t>
            </w:r>
          </w:p>
        </w:tc>
        <w:tc>
          <w:tcPr>
            <w:tcW w:type="dxa" w:w="1872"/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LLM、RAG、视觉</w:t>
            </w:r>
          </w:p>
        </w:tc>
      </w:tr>
      <w:tr>
        <w:tc>
          <w:tcPr>
            <w:tcW w:type="dxa" w:w="800"/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L4</w:t>
            </w:r>
          </w:p>
        </w:tc>
        <w:tc>
          <w:tcPr>
            <w:tcW w:type="dxa" w:w="1800"/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云端平台层</w:t>
            </w:r>
          </w:p>
        </w:tc>
        <w:tc>
          <w:tcPr>
            <w:tcW w:type="dxa" w:w="4600"/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MQTT Broker（EMQX/OneNET）→ 时序存储 → Node-RED 可视化</w:t>
            </w:r>
          </w:p>
        </w:tc>
        <w:tc>
          <w:tcPr>
            <w:tcW w:type="dxa" w:w="1872"/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MQTT、时序存储</w:t>
            </w:r>
          </w:p>
        </w:tc>
      </w:tr>
      <w:tr>
        <w:tc>
          <w:tcPr>
            <w:tcW w:type="dxa" w:w="800"/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L3</w:t>
            </w:r>
          </w:p>
        </w:tc>
        <w:tc>
          <w:tcPr>
            <w:tcW w:type="dxa" w:w="1800"/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边缘层</w:t>
            </w:r>
          </w:p>
        </w:tc>
        <w:tc>
          <w:tcPr>
            <w:tcW w:type="dxa" w:w="4600"/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ESP32-CAM 拍照/轻量推理；断网规则兜底（本地优先）</w:t>
            </w:r>
          </w:p>
        </w:tc>
        <w:tc>
          <w:tcPr>
            <w:tcW w:type="dxa" w:w="1872"/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边缘计算、轻量推理</w:t>
            </w:r>
          </w:p>
        </w:tc>
      </w:tr>
      <w:tr>
        <w:tc>
          <w:tcPr>
            <w:tcW w:type="dxa" w:w="800"/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L2</w:t>
            </w:r>
          </w:p>
        </w:tc>
        <w:tc>
          <w:tcPr>
            <w:tcW w:type="dxa" w:w="1800"/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通信层</w:t>
            </w:r>
          </w:p>
        </w:tc>
        <w:tc>
          <w:tcPr>
            <w:tcW w:type="dxa" w:w="4600"/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USART 文本帧协议 + ESP8266 MQTT</w:t>
            </w:r>
          </w:p>
        </w:tc>
        <w:tc>
          <w:tcPr>
            <w:tcW w:type="dxa" w:w="1872"/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串口、MQTT</w:t>
            </w:r>
          </w:p>
        </w:tc>
      </w:tr>
      <w:tr>
        <w:tc>
          <w:tcPr>
            <w:tcW w:type="dxa" w:w="800"/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L1</w:t>
            </w:r>
          </w:p>
        </w:tc>
        <w:tc>
          <w:tcPr>
            <w:tcW w:type="dxa" w:w="1800"/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感知执行层</w:t>
            </w:r>
          </w:p>
        </w:tc>
        <w:tc>
          <w:tcPr>
            <w:tcW w:type="dxa" w:w="4600"/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STM32F103C8T6 + 传感器 + 继电器/泵/灯/喷药</w:t>
            </w:r>
          </w:p>
        </w:tc>
        <w:tc>
          <w:tcPr>
            <w:tcW w:type="dxa" w:w="1872"/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GPIO、ADC、I2C、SPI</w:t>
            </w:r>
          </w:p>
        </w:tc>
      </w:tr>
    </w:tbl>
    <w:p>
      <w:pPr>
        <w:spacing w:after="60"/>
      </w:pPr>
    </w:p>
    <w:p>
      <w:pPr>
        <w:spacing w:after="0" w:before="0" w:line="360"/>
        <w:ind w:firstLineChars="200"/>
        <w:jc w:val="both"/>
      </w:pPr>
      <w:r>
        <w:rPr>
          <w:rFonts w:ascii="Times New Roman" w:cs="Times New Roman" w:eastAsia="SimSun" w:hAnsi="Times New Roman"/>
          <w:b/>
          <w:bCs/>
          <w:color w:val="000000"/>
          <w:sz w:val="24"/>
          <w:szCs w:val="24"/>
        </w:rPr>
        <w:t xml:space="preserve">安全原则：</w:t>
      </w:r>
      <w:r>
        <w:rPr>
          <w:rFonts w:ascii="Times New Roman" w:cs="Times New Roman" w:eastAsia="SimSun" w:hAnsi="Times New Roman"/>
          <w:color w:val="000000"/>
          <w:sz w:val="24"/>
          <w:szCs w:val="24"/>
        </w:rPr>
        <w:t xml:space="preserve">本地阈值规则永远优先于云端指令（断网自持、误操作兜底），云端智能体指令走白名单。</w:t>
      </w:r>
    </w:p>
    <w:p>
      <w:pPr>
        <w:pStyle w:val="Heading1"/>
        <w:keepNext/>
        <w:spacing w:after="90" w:before="180" w:line="360"/>
      </w:pPr>
      <w:r>
        <w:rPr>
          <w:rFonts w:ascii="Times New Roman" w:cs="Times New Roman" w:eastAsia="SimHei" w:hAnsi="Times New Roman"/>
          <w:b w:val="false"/>
          <w:bCs w:val="false"/>
          <w:sz w:val="32"/>
          <w:szCs w:val="32"/>
        </w:rPr>
        <w:t xml:space="preserve">3. 功能模块</w:t>
      </w:r>
    </w:p>
    <w:tbl>
      <w:tblPr>
        <w:tblW w:type="dxa" w:w="9072"/>
        <w:tblBorders>
          <w:top w:val="single" w:color="000000" w:sz="12" w:space="0"/>
          <w:left w:val="none"/>
          <w:bottom w:val="single" w:color="000000" w:sz="12" w:space="0"/>
          <w:right w:val="none"/>
          <w:insideH w:val="none"/>
          <w:insideV w:val="none"/>
        </w:tblBorders>
      </w:tblPr>
      <w:tblGrid>
        <w:gridCol w:w="2200"/>
        <w:gridCol w:w="3000"/>
        <w:gridCol w:w="700"/>
        <w:gridCol w:w="3172"/>
      </w:tblGrid>
      <w:tr>
        <w:trPr>
          <w:tblHeader/>
        </w:trPr>
        <w:tc>
          <w:tcPr>
            <w:tcW w:type="dxa" w:w="2200"/>
            <w:tcBorders>
              <w:bottom w:val="single" w:color="000000" w:sz="6" w:space="0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SimHei" w:hAnsi="Times New Roman"/>
                <w:b w:val="false"/>
                <w:bCs w:val="false"/>
                <w:sz w:val="21"/>
                <w:szCs w:val="21"/>
              </w:rPr>
              <w:t xml:space="preserve">功能</w:t>
            </w:r>
          </w:p>
        </w:tc>
        <w:tc>
          <w:tcPr>
            <w:tcW w:type="dxa" w:w="3000"/>
            <w:tcBorders>
              <w:bottom w:val="single" w:color="000000" w:sz="6" w:space="0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SimHei" w:hAnsi="Times New Roman"/>
                <w:b w:val="false"/>
                <w:bCs w:val="false"/>
                <w:sz w:val="21"/>
                <w:szCs w:val="21"/>
              </w:rPr>
              <w:t xml:space="preserve">实现方案</w:t>
            </w:r>
          </w:p>
        </w:tc>
        <w:tc>
          <w:tcPr>
            <w:tcW w:type="dxa" w:w="700"/>
            <w:tcBorders>
              <w:bottom w:val="single" w:color="000000" w:sz="6" w:space="0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SimHei" w:hAnsi="Times New Roman"/>
                <w:b w:val="false"/>
                <w:bCs w:val="false"/>
                <w:sz w:val="21"/>
                <w:szCs w:val="21"/>
              </w:rPr>
              <w:t xml:space="preserve">难度</w:t>
            </w:r>
          </w:p>
        </w:tc>
        <w:tc>
          <w:tcPr>
            <w:tcW w:type="dxa" w:w="3172"/>
            <w:tcBorders>
              <w:bottom w:val="single" w:color="000000" w:sz="6" w:space="0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SimHei" w:hAnsi="Times New Roman"/>
                <w:b w:val="false"/>
                <w:bCs w:val="false"/>
                <w:sz w:val="21"/>
                <w:szCs w:val="21"/>
              </w:rPr>
              <w:t xml:space="preserve">可行性依据</w:t>
            </w:r>
          </w:p>
        </w:tc>
      </w:tr>
      <w:tr>
        <w:tc>
          <w:tcPr>
            <w:tcW w:type="dxa" w:w="2200"/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自动浇水/施肥</w:t>
            </w:r>
          </w:p>
        </w:tc>
        <w:tc>
          <w:tcPr>
            <w:tcW w:type="dxa" w:w="3000"/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土壤湿度+光照综合判断；继电器驱动水泵/蠕动泵</w:t>
            </w:r>
          </w:p>
        </w:tc>
        <w:tc>
          <w:tcPr>
            <w:tcW w:type="dxa" w:w="700"/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中</w:t>
            </w:r>
          </w:p>
        </w:tc>
        <w:tc>
          <w:tcPr>
            <w:tcW w:type="dxa" w:w="3172"/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传感器与继电器已有；开源整机项目已验证</w:t>
            </w:r>
          </w:p>
        </w:tc>
      </w:tr>
      <w:tr>
        <w:tc>
          <w:tcPr>
            <w:tcW w:type="dxa" w:w="2200"/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环境自动调控</w:t>
            </w:r>
          </w:p>
        </w:tc>
        <w:tc>
          <w:tcPr>
            <w:tcW w:type="dxa" w:w="3000"/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DHT11/BH1750 → 风扇/加热/补光灯；PWM 调光（PID 可选）</w:t>
            </w:r>
          </w:p>
        </w:tc>
        <w:tc>
          <w:tcPr>
            <w:tcW w:type="dxa" w:w="700"/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中</w:t>
            </w:r>
          </w:p>
        </w:tc>
        <w:tc>
          <w:tcPr>
            <w:tcW w:type="dxa" w:w="3172"/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传感器已有；PWM/PID 为已学内容</w:t>
            </w:r>
          </w:p>
        </w:tc>
      </w:tr>
      <w:tr>
        <w:tc>
          <w:tcPr>
            <w:tcW w:type="dxa" w:w="2200"/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病虫害检测+给药</w:t>
            </w:r>
          </w:p>
        </w:tc>
        <w:tc>
          <w:tcPr>
            <w:tcW w:type="dxa" w:w="3000"/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摄像头定拍 → YOLOv8（先云后边）→ 置信度达标 → 喷药泵</w:t>
            </w:r>
          </w:p>
        </w:tc>
        <w:tc>
          <w:tcPr>
            <w:tcW w:type="dxa" w:w="700"/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高</w:t>
            </w:r>
          </w:p>
        </w:tc>
        <w:tc>
          <w:tcPr>
            <w:tcW w:type="dxa" w:w="3172"/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PlantDoc/PlantVillage 公开数据集 + 多个 ESP32-CAM/YOLO 先例</w:t>
            </w:r>
          </w:p>
        </w:tc>
      </w:tr>
      <w:tr>
        <w:tc>
          <w:tcPr>
            <w:tcW w:type="dxa" w:w="2200"/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生长状况分析</w:t>
            </w:r>
          </w:p>
        </w:tc>
        <w:tc>
          <w:tcPr>
            <w:tcW w:type="dxa" w:w="3000"/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定距定时拍照 → 叶片数/株高/颜色统计 → 大模型生成周报</w:t>
            </w:r>
          </w:p>
        </w:tc>
        <w:tc>
          <w:tcPr>
            <w:tcW w:type="dxa" w:w="700"/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高</w:t>
            </w:r>
          </w:p>
        </w:tc>
        <w:tc>
          <w:tcPr>
            <w:tcW w:type="dxa" w:w="3172"/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视觉测量工具包开源可用</w:t>
            </w:r>
          </w:p>
        </w:tc>
      </w:tr>
      <w:tr>
        <w:tc>
          <w:tcPr>
            <w:tcW w:type="dxa" w:w="2200"/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农技知识问答</w:t>
            </w:r>
          </w:p>
        </w:tc>
        <w:tc>
          <w:tcPr>
            <w:tcW w:type="dxa" w:w="3000"/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种植/病虫害/用药知识库 → RAG 检索增强 → 结构化方案+来源标注</w:t>
            </w:r>
          </w:p>
        </w:tc>
        <w:tc>
          <w:tcPr>
            <w:tcW w:type="dxa" w:w="700"/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中</w:t>
            </w:r>
          </w:p>
        </w:tc>
        <w:tc>
          <w:tcPr>
            <w:tcW w:type="dxa" w:w="3172"/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司农/DeepSeek + Dify/RAGFlow 已核验，农业领域 RAG 问答已有成熟落地案例</w:t>
            </w:r>
          </w:p>
        </w:tc>
      </w:tr>
      <w:tr>
        <w:tc>
          <w:tcPr>
            <w:tcW w:type="dxa" w:w="2200"/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智能体决策</w:t>
            </w:r>
          </w:p>
        </w:tc>
        <w:tc>
          <w:tcPr>
            <w:tcW w:type="dxa" w:w="3000"/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传感器+检测+历史 → 大模型（司农/DeepSeek）→ 设备指令+解释</w:t>
            </w:r>
          </w:p>
        </w:tc>
        <w:tc>
          <w:tcPr>
            <w:tcW w:type="dxa" w:w="700"/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高</w:t>
            </w:r>
          </w:p>
        </w:tc>
        <w:tc>
          <w:tcPr>
            <w:tcW w:type="dxa" w:w="3172"/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Dify HTTP 节点可调外部 API；农业大模型已开源</w:t>
            </w:r>
          </w:p>
        </w:tc>
      </w:tr>
      <w:tr>
        <w:tc>
          <w:tcPr>
            <w:tcW w:type="dxa" w:w="2200"/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数据中台/展示</w:t>
            </w:r>
          </w:p>
        </w:tc>
        <w:tc>
          <w:tcPr>
            <w:tcW w:type="dxa" w:w="3000"/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MQTT 上行 → 时序存储 → 小程序/H5；W25Q64 本地日志</w:t>
            </w:r>
          </w:p>
        </w:tc>
        <w:tc>
          <w:tcPr>
            <w:tcW w:type="dxa" w:w="700"/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中</w:t>
            </w:r>
          </w:p>
        </w:tc>
        <w:tc>
          <w:tcPr>
            <w:tcW w:type="dxa" w:w="3172"/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EMQX/Node-RED 成熟；农业岛平台可二开</w:t>
            </w:r>
          </w:p>
        </w:tc>
      </w:tr>
    </w:tbl>
    <w:p>
      <w:pPr>
        <w:pStyle w:val="Heading1"/>
        <w:keepNext/>
        <w:spacing w:after="90" w:before="180" w:line="360"/>
      </w:pPr>
      <w:r>
        <w:rPr>
          <w:rFonts w:ascii="Times New Roman" w:cs="Times New Roman" w:eastAsia="SimHei" w:hAnsi="Times New Roman"/>
          <w:b w:val="false"/>
          <w:bCs w:val="false"/>
          <w:sz w:val="32"/>
          <w:szCs w:val="32"/>
        </w:rPr>
        <w:t xml:space="preserve">4. 数据链路</w:t>
      </w:r>
    </w:p>
    <w:tbl>
      <w:tblPr>
        <w:tblW w:type="dxa" w:w="9072"/>
        <w:tblBorders>
          <w:top w:val="single" w:color="000000" w:sz="12" w:space="0"/>
          <w:left w:val="none"/>
          <w:bottom w:val="single" w:color="000000" w:sz="12" w:space="0"/>
          <w:right w:val="none"/>
          <w:insideH w:val="none"/>
          <w:insideV w:val="none"/>
        </w:tblBorders>
      </w:tblPr>
      <w:tblGrid>
        <w:gridCol w:w="1400"/>
        <w:gridCol w:w="5900"/>
        <w:gridCol w:w="1772"/>
      </w:tblGrid>
      <w:tr>
        <w:trPr>
          <w:tblHeader/>
        </w:trPr>
        <w:tc>
          <w:tcPr>
            <w:tcW w:type="dxa" w:w="1400"/>
            <w:tcBorders>
              <w:bottom w:val="single" w:color="000000" w:sz="6" w:space="0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SimHei" w:hAnsi="Times New Roman"/>
                <w:b w:val="false"/>
                <w:bCs w:val="false"/>
                <w:sz w:val="21"/>
                <w:szCs w:val="21"/>
              </w:rPr>
              <w:t xml:space="preserve">环节</w:t>
            </w:r>
          </w:p>
        </w:tc>
        <w:tc>
          <w:tcPr>
            <w:tcW w:type="dxa" w:w="5900"/>
            <w:tcBorders>
              <w:bottom w:val="single" w:color="000000" w:sz="6" w:space="0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SimHei" w:hAnsi="Times New Roman"/>
                <w:b w:val="false"/>
                <w:bCs w:val="false"/>
                <w:sz w:val="21"/>
                <w:szCs w:val="21"/>
              </w:rPr>
              <w:t xml:space="preserve">内容</w:t>
            </w:r>
          </w:p>
        </w:tc>
        <w:tc>
          <w:tcPr>
            <w:tcW w:type="dxa" w:w="1772"/>
            <w:tcBorders>
              <w:bottom w:val="single" w:color="000000" w:sz="6" w:space="0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SimHei" w:hAnsi="Times New Roman"/>
                <w:b w:val="false"/>
                <w:bCs w:val="false"/>
                <w:sz w:val="21"/>
                <w:szCs w:val="21"/>
              </w:rPr>
              <w:t xml:space="preserve">输出</w:t>
            </w:r>
          </w:p>
        </w:tc>
      </w:tr>
      <w:tr>
        <w:tc>
          <w:tcPr>
            <w:tcW w:type="dxa" w:w="1400"/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感知</w:t>
            </w:r>
          </w:p>
        </w:tc>
        <w:tc>
          <w:tcPr>
            <w:tcW w:type="dxa" w:w="5900"/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BH1750/DHT11/土壤 → STM32 采集打包（文本帧）；ESP32-CAM 拍照上传（HTTP/MQTT）</w:t>
            </w:r>
          </w:p>
        </w:tc>
        <w:tc>
          <w:tcPr>
            <w:tcW w:type="dxa" w:w="1772"/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数据帧 / 图片</w:t>
            </w:r>
          </w:p>
        </w:tc>
      </w:tr>
      <w:tr>
        <w:tc>
          <w:tcPr>
            <w:tcW w:type="dxa" w:w="1400"/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通信</w:t>
            </w:r>
          </w:p>
        </w:tc>
        <w:tc>
          <w:tcPr>
            <w:tcW w:type="dxa" w:w="5900"/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USART 帧 + ESP8266 MQTT；本地接 LabVIEW 调试 + W25Q64 日志</w:t>
            </w:r>
          </w:p>
        </w:tc>
        <w:tc>
          <w:tcPr>
            <w:tcW w:type="dxa" w:w="1772"/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上行数据</w:t>
            </w:r>
          </w:p>
        </w:tc>
      </w:tr>
      <w:tr>
        <w:tc>
          <w:tcPr>
            <w:tcW w:type="dxa" w:w="1400"/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云端</w:t>
            </w:r>
          </w:p>
        </w:tc>
        <w:tc>
          <w:tcPr>
            <w:tcW w:type="dxa" w:w="5900"/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MQTT Broker（EMQX/OneNET）→ 时序存储 + Node-RED 可视化</w:t>
            </w:r>
          </w:p>
        </w:tc>
        <w:tc>
          <w:tcPr>
            <w:tcW w:type="dxa" w:w="1772"/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时序数据</w:t>
            </w:r>
          </w:p>
        </w:tc>
      </w:tr>
      <w:tr>
        <w:tc>
          <w:tcPr>
            <w:tcW w:type="dxa" w:w="1400"/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AI</w:t>
            </w:r>
          </w:p>
        </w:tc>
        <w:tc>
          <w:tcPr>
            <w:tcW w:type="dxa" w:w="5900"/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视觉服务（YOLO 病害检测/生长分析）→ 结果入事件队列；智能体（LLM+RAG）综合传感器+视觉+历史，输出设备指令与农技方案</w:t>
            </w:r>
          </w:p>
        </w:tc>
        <w:tc>
          <w:tcPr>
            <w:tcW w:type="dxa" w:w="1772"/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决策 JSON / 问答方案</w:t>
            </w:r>
          </w:p>
        </w:tc>
      </w:tr>
      <w:tr>
        <w:tc>
          <w:tcPr>
            <w:tcW w:type="dxa" w:w="1400"/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执行</w:t>
            </w:r>
          </w:p>
        </w:tc>
        <w:tc>
          <w:tcPr>
            <w:tcW w:type="dxa" w:w="5900"/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MQTT 下行指令 → 网关转 HTTP/串口 → STM32 解析 → 继电器/泵/灯/喷药</w:t>
            </w:r>
          </w:p>
        </w:tc>
        <w:tc>
          <w:tcPr>
            <w:tcW w:type="dxa" w:w="1772"/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设备动作</w:t>
            </w:r>
          </w:p>
        </w:tc>
      </w:tr>
      <w:tr>
        <w:tc>
          <w:tcPr>
            <w:tcW w:type="dxa" w:w="1400"/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闭环</w:t>
            </w:r>
          </w:p>
        </w:tc>
        <w:tc>
          <w:tcPr>
            <w:tcW w:type="dxa" w:w="5900"/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执行状态回传 → 数据入库 → 小程序/大屏展示 + 智能体下次决策依据</w:t>
            </w:r>
          </w:p>
        </w:tc>
        <w:tc>
          <w:tcPr>
            <w:tcW w:type="dxa" w:w="1772"/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反馈数据</w:t>
            </w:r>
          </w:p>
        </w:tc>
      </w:tr>
    </w:tbl>
    <w:p>
      <w:pPr>
        <w:pStyle w:val="Heading1"/>
        <w:keepNext/>
        <w:spacing w:after="90" w:before="180" w:line="360"/>
      </w:pPr>
      <w:r>
        <w:rPr>
          <w:rFonts w:ascii="Times New Roman" w:cs="Times New Roman" w:eastAsia="SimHei" w:hAnsi="Times New Roman"/>
          <w:b w:val="false"/>
          <w:bCs w:val="false"/>
          <w:sz w:val="32"/>
          <w:szCs w:val="32"/>
        </w:rPr>
        <w:t xml:space="preserve">5. 技术可行性</w:t>
      </w:r>
    </w:p>
    <w:p>
      <w:pPr>
        <w:pStyle w:val="ListParagraph"/>
        <w:numPr>
          <w:ilvl w:val="0"/>
          <w:numId w:val="3"/>
        </w:numPr>
        <w:spacing w:after="0" w:line="360"/>
        <w:jc w:val="both"/>
      </w:pPr>
      <w:r>
        <w:rPr>
          <w:rFonts w:ascii="Times New Roman" w:cs="Times New Roman" w:eastAsia="SimSun" w:hAnsi="Times New Roman"/>
          <w:color w:val="000000"/>
          <w:sz w:val="24"/>
          <w:szCs w:val="24"/>
        </w:rPr>
        <w:t xml:space="preserve">硬件与嵌入式：全部器件为 STM32 生态常用模块，与现有学习内容一一对应，参考整机项目已跑通相同硬件组合。</w:t>
      </w:r>
    </w:p>
    <w:p>
      <w:pPr>
        <w:pStyle w:val="ListParagraph"/>
        <w:numPr>
          <w:ilvl w:val="0"/>
          <w:numId w:val="3"/>
        </w:numPr>
        <w:spacing w:after="0" w:line="360"/>
        <w:jc w:val="both"/>
      </w:pPr>
      <w:r>
        <w:rPr>
          <w:rFonts w:ascii="Times New Roman" w:cs="Times New Roman" w:eastAsia="SimSun" w:hAnsi="Times New Roman"/>
          <w:color w:val="000000"/>
          <w:sz w:val="24"/>
          <w:szCs w:val="24"/>
        </w:rPr>
        <w:t xml:space="preserve">视觉检测：PlantDoc（427 星）/ PlantVillage（5 万+ 图、38 类）公开数据集可用，YOLOv8 框架成熟（Ultralytics 60k 星），已有温室病害检测与 ESP32-CAM 实时检测先例。</w:t>
      </w:r>
    </w:p>
    <w:p>
      <w:pPr>
        <w:pStyle w:val="ListParagraph"/>
        <w:numPr>
          <w:ilvl w:val="0"/>
          <w:numId w:val="3"/>
        </w:numPr>
        <w:spacing w:after="0" w:line="360"/>
        <w:jc w:val="both"/>
      </w:pPr>
      <w:r>
        <w:rPr>
          <w:rFonts w:ascii="Times New Roman" w:cs="Times New Roman" w:eastAsia="SimSun" w:hAnsi="Times New Roman"/>
          <w:color w:val="000000"/>
          <w:sz w:val="24"/>
          <w:szCs w:val="24"/>
        </w:rPr>
        <w:t xml:space="preserve">智能体链路：司农（国内首个农业开源大语言模型，8B/32B）与 AgriAgent（125 星）均已开源；Dify 官方确认 HTTP 节点可调外部 API，智能体到设备路径可行；RAG 农技问答与病虫害识别在农业领域已有成熟落地案例。</w:t>
      </w:r>
    </w:p>
    <w:p>
      <w:pPr>
        <w:pStyle w:val="ListParagraph"/>
        <w:numPr>
          <w:ilvl w:val="0"/>
          <w:numId w:val="3"/>
        </w:numPr>
        <w:spacing w:after="0" w:line="360"/>
        <w:jc w:val="both"/>
      </w:pPr>
      <w:r>
        <w:rPr>
          <w:rFonts w:ascii="Times New Roman" w:cs="Times New Roman" w:eastAsia="SimSun" w:hAnsi="Times New Roman"/>
          <w:color w:val="000000"/>
          <w:sz w:val="24"/>
          <w:szCs w:val="24"/>
        </w:rPr>
        <w:t xml:space="preserve">云平台：EMQX（16.5k 星）、Node-RED（23.5k 星）、农业岛（347 星）均已核验；OneNET 免费可用。</w:t>
      </w:r>
    </w:p>
    <w:p>
      <w:pPr>
        <w:pStyle w:val="ListParagraph"/>
        <w:numPr>
          <w:ilvl w:val="0"/>
          <w:numId w:val="3"/>
        </w:numPr>
        <w:spacing w:after="0" w:line="360"/>
        <w:jc w:val="both"/>
      </w:pPr>
      <w:r>
        <w:rPr>
          <w:rFonts w:ascii="Times New Roman" w:cs="Times New Roman" w:eastAsia="SimSun" w:hAnsi="Times New Roman"/>
          <w:color w:val="000000"/>
          <w:sz w:val="24"/>
          <w:szCs w:val="24"/>
        </w:rPr>
        <w:t xml:space="preserve">已知约束：ESP32-CAM 算力有限，初期视觉推理走云端；司农 32B 本地部署显存要求高，初期用 8B 或 DeepSeek API。</w:t>
      </w:r>
    </w:p>
    <w:p>
      <w:pPr>
        <w:pStyle w:val="Heading1"/>
        <w:keepNext/>
        <w:spacing w:after="90" w:before="180" w:line="360"/>
      </w:pPr>
      <w:r>
        <w:rPr>
          <w:rFonts w:ascii="Times New Roman" w:cs="Times New Roman" w:eastAsia="SimHei" w:hAnsi="Times New Roman"/>
          <w:b w:val="false"/>
          <w:bCs w:val="false"/>
          <w:sz w:val="32"/>
          <w:szCs w:val="32"/>
        </w:rPr>
        <w:t xml:space="preserve">6. 里程碑计划</w:t>
      </w:r>
    </w:p>
    <w:tbl>
      <w:tblPr>
        <w:tblW w:type="dxa" w:w="9072"/>
        <w:tblBorders>
          <w:top w:val="single" w:color="000000" w:sz="12" w:space="0"/>
          <w:left w:val="none"/>
          <w:bottom w:val="single" w:color="000000" w:sz="12" w:space="0"/>
          <w:right w:val="none"/>
          <w:insideH w:val="none"/>
          <w:insideV w:val="none"/>
        </w:tblBorders>
      </w:tblPr>
      <w:tblGrid>
        <w:gridCol w:w="1500"/>
        <w:gridCol w:w="1200"/>
        <w:gridCol w:w="4100"/>
        <w:gridCol w:w="2272"/>
      </w:tblGrid>
      <w:tr>
        <w:trPr>
          <w:tblHeader/>
        </w:trPr>
        <w:tc>
          <w:tcPr>
            <w:tcW w:type="dxa" w:w="1500"/>
            <w:tcBorders>
              <w:bottom w:val="single" w:color="000000" w:sz="6" w:space="0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SimHei" w:hAnsi="Times New Roman"/>
                <w:b w:val="false"/>
                <w:bCs w:val="false"/>
                <w:sz w:val="21"/>
                <w:szCs w:val="21"/>
              </w:rPr>
              <w:t xml:space="preserve">阶段</w:t>
            </w:r>
          </w:p>
        </w:tc>
        <w:tc>
          <w:tcPr>
            <w:tcW w:type="dxa" w:w="1200"/>
            <w:tcBorders>
              <w:bottom w:val="single" w:color="000000" w:sz="6" w:space="0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SimHei" w:hAnsi="Times New Roman"/>
                <w:b w:val="false"/>
                <w:bCs w:val="false"/>
                <w:sz w:val="21"/>
                <w:szCs w:val="21"/>
              </w:rPr>
              <w:t xml:space="preserve">时间</w:t>
            </w:r>
          </w:p>
        </w:tc>
        <w:tc>
          <w:tcPr>
            <w:tcW w:type="dxa" w:w="4100"/>
            <w:tcBorders>
              <w:bottom w:val="single" w:color="000000" w:sz="6" w:space="0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SimHei" w:hAnsi="Times New Roman"/>
                <w:b w:val="false"/>
                <w:bCs w:val="false"/>
                <w:sz w:val="21"/>
                <w:szCs w:val="21"/>
              </w:rPr>
              <w:t xml:space="preserve">内容</w:t>
            </w:r>
          </w:p>
        </w:tc>
        <w:tc>
          <w:tcPr>
            <w:tcW w:type="dxa" w:w="2272"/>
            <w:tcBorders>
              <w:bottom w:val="single" w:color="000000" w:sz="6" w:space="0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SimHei" w:hAnsi="Times New Roman"/>
                <w:b w:val="false"/>
                <w:bCs w:val="false"/>
                <w:sz w:val="21"/>
                <w:szCs w:val="21"/>
              </w:rPr>
              <w:t xml:space="preserve">验收点</w:t>
            </w:r>
          </w:p>
        </w:tc>
      </w:tr>
      <w:tr>
        <w:tc>
          <w:tcPr>
            <w:tcW w:type="dxa" w:w="1500"/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M0 开题</w:t>
            </w:r>
          </w:p>
        </w:tc>
        <w:tc>
          <w:tcPr>
            <w:tcW w:type="dxa" w:w="1200"/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第 1—2 周</w:t>
            </w:r>
          </w:p>
        </w:tc>
        <w:tc>
          <w:tcPr>
            <w:tcW w:type="dxa" w:w="4100"/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链路定稿、软件环境搭建（Python/Dify/YOLO）</w:t>
            </w:r>
          </w:p>
        </w:tc>
        <w:tc>
          <w:tcPr>
            <w:tcW w:type="dxa" w:w="2272"/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开题通过</w:t>
            </w:r>
          </w:p>
        </w:tc>
      </w:tr>
      <w:tr>
        <w:tc>
          <w:tcPr>
            <w:tcW w:type="dxa" w:w="1500"/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M1 感知-控制闭环</w:t>
            </w:r>
          </w:p>
        </w:tc>
        <w:tc>
          <w:tcPr>
            <w:tcW w:type="dxa" w:w="1200"/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第 3—6 周</w:t>
            </w:r>
          </w:p>
        </w:tc>
        <w:tc>
          <w:tcPr>
            <w:tcW w:type="dxa" w:w="4100"/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传感器采集→OLED→继电器→串口帧协议→LabVIEW 上位机</w:t>
            </w:r>
          </w:p>
        </w:tc>
        <w:tc>
          <w:tcPr>
            <w:tcW w:type="dxa" w:w="2272"/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本地闭环运行，数据帧正确，远程手动可控</w:t>
            </w:r>
          </w:p>
        </w:tc>
      </w:tr>
      <w:tr>
        <w:tc>
          <w:tcPr>
            <w:tcW w:type="dxa" w:w="1500"/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M2 上云+日志</w:t>
            </w:r>
          </w:p>
        </w:tc>
        <w:tc>
          <w:tcPr>
            <w:tcW w:type="dxa" w:w="1200"/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第 7—10 周</w:t>
            </w:r>
          </w:p>
        </w:tc>
        <w:tc>
          <w:tcPr>
            <w:tcW w:type="dxa" w:w="4100"/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ESP8266 MQTT→EMQX/OneNET→Node-RED 可视化；W25Q64 日志</w:t>
            </w:r>
          </w:p>
        </w:tc>
        <w:tc>
          <w:tcPr>
            <w:tcW w:type="dxa" w:w="2272"/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云平台实时曲线、断网日志完整可补传</w:t>
            </w:r>
          </w:p>
        </w:tc>
      </w:tr>
      <w:tr>
        <w:tc>
          <w:tcPr>
            <w:tcW w:type="dxa" w:w="1500"/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M3 视觉检测</w:t>
            </w:r>
          </w:p>
        </w:tc>
        <w:tc>
          <w:tcPr>
            <w:tcW w:type="dxa" w:w="1200"/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第 11—18 周</w:t>
            </w:r>
          </w:p>
        </w:tc>
        <w:tc>
          <w:tcPr>
            <w:tcW w:type="dxa" w:w="4100"/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公开集+自采数据训练 YOLO（先 5 类常见病）→云端推理→触发喷药</w:t>
            </w:r>
          </w:p>
        </w:tc>
        <w:tc>
          <w:tcPr>
            <w:tcW w:type="dxa" w:w="2272"/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检测准确率 ≥85%，喷药动作联动</w:t>
            </w:r>
          </w:p>
        </w:tc>
      </w:tr>
      <w:tr>
        <w:tc>
          <w:tcPr>
            <w:tcW w:type="dxa" w:w="1500"/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M4 智能体决策</w:t>
            </w:r>
          </w:p>
        </w:tc>
        <w:tc>
          <w:tcPr>
            <w:tcW w:type="dxa" w:w="1200"/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第 19—23 周</w:t>
            </w:r>
          </w:p>
        </w:tc>
        <w:tc>
          <w:tcPr>
            <w:tcW w:type="dxa" w:w="4100"/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Dify 搭智能体+RAG 知识库（设备决策+农技问答）→ 指令闭环 → 小程序</w:t>
            </w:r>
          </w:p>
        </w:tc>
        <w:tc>
          <w:tcPr>
            <w:tcW w:type="dxa" w:w="2272"/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自然语言指令自动执行，农技问答可溯源，误操作有兜底</w:t>
            </w:r>
          </w:p>
        </w:tc>
      </w:tr>
      <w:tr>
        <w:tc>
          <w:tcPr>
            <w:tcW w:type="dxa" w:w="1500"/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M5 作品化</w:t>
            </w:r>
          </w:p>
        </w:tc>
        <w:tc>
          <w:tcPr>
            <w:tcW w:type="dxa" w:w="1200"/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第 24 周</w:t>
            </w:r>
          </w:p>
        </w:tc>
        <w:tc>
          <w:tcPr>
            <w:tcW w:type="dxa" w:w="4100"/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外壳/文档/演示视频/说明书/答辩材料</w:t>
            </w:r>
          </w:p>
        </w:tc>
        <w:tc>
          <w:tcPr>
            <w:tcW w:type="dxa" w:w="2272"/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达到参赛交付标准</w:t>
            </w:r>
          </w:p>
        </w:tc>
      </w:tr>
    </w:tbl>
    <w:p>
      <w:pPr>
        <w:pStyle w:val="Heading1"/>
        <w:keepNext/>
        <w:spacing w:after="90" w:before="180" w:line="360"/>
      </w:pPr>
      <w:r>
        <w:rPr>
          <w:rFonts w:ascii="Times New Roman" w:cs="Times New Roman" w:eastAsia="SimHei" w:hAnsi="Times New Roman"/>
          <w:b w:val="false"/>
          <w:bCs w:val="false"/>
          <w:sz w:val="32"/>
          <w:szCs w:val="32"/>
        </w:rPr>
        <w:t xml:space="preserve">7. 创新点与预期成果</w:t>
      </w:r>
    </w:p>
    <w:p>
      <w:pPr>
        <w:pStyle w:val="ListParagraph"/>
        <w:numPr>
          <w:ilvl w:val="0"/>
          <w:numId w:val="3"/>
        </w:numPr>
        <w:spacing w:after="0" w:line="360"/>
        <w:jc w:val="both"/>
      </w:pPr>
      <w:r>
        <w:rPr>
          <w:rFonts w:ascii="Times New Roman" w:cs="Times New Roman" w:eastAsia="SimSun" w:hAnsi="Times New Roman"/>
          <w:color w:val="000000"/>
          <w:sz w:val="24"/>
          <w:szCs w:val="24"/>
        </w:rPr>
        <w:t xml:space="preserve">智能体闭环决策：大模型直接输出设备动作指令，不只停留在问答层。</w:t>
      </w:r>
    </w:p>
    <w:p>
      <w:pPr>
        <w:pStyle w:val="ListParagraph"/>
        <w:numPr>
          <w:ilvl w:val="0"/>
          <w:numId w:val="3"/>
        </w:numPr>
        <w:spacing w:after="0" w:line="360"/>
        <w:jc w:val="both"/>
      </w:pPr>
      <w:r>
        <w:rPr>
          <w:rFonts w:ascii="Times New Roman" w:cs="Times New Roman" w:eastAsia="SimSun" w:hAnsi="Times New Roman"/>
          <w:color w:val="000000"/>
          <w:sz w:val="24"/>
          <w:szCs w:val="24"/>
        </w:rPr>
        <w:t xml:space="preserve">边缘-云协同：断网时本地规则独立运行，联网后云端智能体接管；本地规则永远优先，误操作有兜底。</w:t>
      </w:r>
    </w:p>
    <w:p>
      <w:pPr>
        <w:pStyle w:val="ListParagraph"/>
        <w:numPr>
          <w:ilvl w:val="0"/>
          <w:numId w:val="3"/>
        </w:numPr>
        <w:spacing w:after="0" w:line="360"/>
        <w:jc w:val="both"/>
      </w:pPr>
      <w:r>
        <w:rPr>
          <w:rFonts w:ascii="Times New Roman" w:cs="Times New Roman" w:eastAsia="SimSun" w:hAnsi="Times New Roman"/>
          <w:color w:val="000000"/>
          <w:sz w:val="24"/>
          <w:szCs w:val="24"/>
        </w:rPr>
        <w:t xml:space="preserve">低成本可复制：硬件总成本低，整套闭环可复现，适合竞赛展示与教学科研场景推广。</w:t>
      </w:r>
    </w:p>
    <w:p>
      <w:pPr>
        <w:pStyle w:val="ListParagraph"/>
        <w:numPr>
          <w:ilvl w:val="0"/>
          <w:numId w:val="3"/>
        </w:numPr>
        <w:spacing w:after="0" w:line="360"/>
        <w:jc w:val="both"/>
      </w:pPr>
      <w:r>
        <w:rPr>
          <w:rFonts w:ascii="Times New Roman" w:cs="Times New Roman" w:eastAsia="SimSun" w:hAnsi="Times New Roman"/>
          <w:color w:val="000000"/>
          <w:sz w:val="24"/>
          <w:szCs w:val="24"/>
        </w:rPr>
        <w:t xml:space="preserve">全周期数字档案：从种子到收获持续记录传感器与视觉数据，形成可追溯的生长档案。</w:t>
      </w:r>
    </w:p>
    <w:p>
      <w:pPr>
        <w:pStyle w:val="Heading1"/>
        <w:keepNext/>
        <w:spacing w:after="90" w:before="180" w:line="360"/>
      </w:pPr>
      <w:r>
        <w:rPr>
          <w:rFonts w:ascii="Times New Roman" w:cs="Times New Roman" w:eastAsia="SimHei" w:hAnsi="Times New Roman"/>
          <w:b w:val="false"/>
          <w:bCs w:val="false"/>
          <w:sz w:val="32"/>
          <w:szCs w:val="32"/>
        </w:rPr>
        <w:t xml:space="preserve">8. 风险与应对</w:t>
      </w:r>
    </w:p>
    <w:tbl>
      <w:tblPr>
        <w:tblW w:type="dxa" w:w="9072"/>
        <w:tblBorders>
          <w:top w:val="single" w:color="000000" w:sz="12" w:space="0"/>
          <w:left w:val="none"/>
          <w:bottom w:val="single" w:color="000000" w:sz="12" w:space="0"/>
          <w:right w:val="none"/>
          <w:insideH w:val="none"/>
          <w:insideV w:val="none"/>
        </w:tblBorders>
      </w:tblPr>
      <w:tblGrid>
        <w:gridCol w:w="3200"/>
        <w:gridCol w:w="5872"/>
      </w:tblGrid>
      <w:tr>
        <w:trPr>
          <w:tblHeader/>
        </w:trPr>
        <w:tc>
          <w:tcPr>
            <w:tcW w:type="dxa" w:w="3200"/>
            <w:tcBorders>
              <w:bottom w:val="single" w:color="000000" w:sz="6" w:space="0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SimHei" w:hAnsi="Times New Roman"/>
                <w:b w:val="false"/>
                <w:bCs w:val="false"/>
                <w:sz w:val="21"/>
                <w:szCs w:val="21"/>
              </w:rPr>
              <w:t xml:space="preserve">风险</w:t>
            </w:r>
          </w:p>
        </w:tc>
        <w:tc>
          <w:tcPr>
            <w:tcW w:type="dxa" w:w="5872"/>
            <w:tcBorders>
              <w:bottom w:val="single" w:color="000000" w:sz="6" w:space="0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SimHei" w:hAnsi="Times New Roman"/>
                <w:b w:val="false"/>
                <w:bCs w:val="false"/>
                <w:sz w:val="21"/>
                <w:szCs w:val="21"/>
              </w:rPr>
              <w:t xml:space="preserve">应对</w:t>
            </w:r>
          </w:p>
        </w:tc>
      </w:tr>
      <w:tr>
        <w:tc>
          <w:tcPr>
            <w:tcW w:type="dxa" w:w="3200"/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视觉识别数据不足/效果差</w:t>
            </w:r>
          </w:p>
        </w:tc>
        <w:tc>
          <w:tcPr>
            <w:tcW w:type="dxa" w:w="5872"/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公开数据集预训练 + 自采微调；范围先缩到 3—5 类常见病害</w:t>
            </w:r>
          </w:p>
        </w:tc>
      </w:tr>
      <w:tr>
        <w:tc>
          <w:tcPr>
            <w:tcW w:type="dxa" w:w="3200"/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ESP32-CAM 边缘算力不足</w:t>
            </w:r>
          </w:p>
        </w:tc>
        <w:tc>
          <w:tcPr>
            <w:tcW w:type="dxa" w:w="5872"/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初期视觉推理放云端，边缘只拍照上传；后期再试轻量模型</w:t>
            </w:r>
          </w:p>
        </w:tc>
      </w:tr>
      <w:tr>
        <w:tc>
          <w:tcPr>
            <w:tcW w:type="dxa" w:w="3200"/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智能体误操作</w:t>
            </w:r>
          </w:p>
        </w:tc>
        <w:tc>
          <w:tcPr>
            <w:tcW w:type="dxa" w:w="5872"/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本地规则优先、指令白名单、关键动作人工确认模式</w:t>
            </w:r>
          </w:p>
        </w:tc>
      </w:tr>
      <w:tr>
        <w:tc>
          <w:tcPr>
            <w:tcW w:type="dxa" w:w="3200"/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企业级平台功能多、期望高</w:t>
            </w:r>
          </w:p>
        </w:tc>
        <w:tc>
          <w:tcPr>
            <w:tcW w:type="dxa" w:w="5872"/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明确项目边界：只做“感知—决策—执行”最小闭环原型，不做全平台，以演示场景验收</w:t>
            </w:r>
          </w:p>
        </w:tc>
      </w:tr>
      <w:tr>
        <w:tc>
          <w:tcPr>
            <w:tcW w:type="dxa" w:w="3200"/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时间不足（与考研并行）</w:t>
            </w:r>
          </w:p>
        </w:tc>
        <w:tc>
          <w:tcPr>
            <w:tcW w:type="dxa" w:w="5872"/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按里程碑裁剪：合并施肥/给药、生长分析降级为拍照+周报</w:t>
            </w:r>
          </w:p>
        </w:tc>
      </w:tr>
    </w:tbl>
    <w:p>
      <w:pPr>
        <w:pStyle w:val="Heading1"/>
        <w:keepNext/>
        <w:spacing w:after="90" w:before="180" w:line="360"/>
      </w:pPr>
      <w:r>
        <w:rPr>
          <w:rFonts w:ascii="Times New Roman" w:cs="Times New Roman" w:eastAsia="SimHei" w:hAnsi="Times New Roman"/>
          <w:b w:val="false"/>
          <w:bCs w:val="false"/>
          <w:sz w:val="32"/>
          <w:szCs w:val="32"/>
        </w:rPr>
        <w:t xml:space="preserve">附：主要开源参考</w:t>
      </w:r>
    </w:p>
    <w:p>
      <w:pPr>
        <w:pStyle w:val="ListParagraph"/>
        <w:numPr>
          <w:ilvl w:val="0"/>
          <w:numId w:val="2"/>
        </w:numPr>
        <w:spacing w:after="0" w:line="360"/>
        <w:jc w:val="both"/>
      </w:pPr>
      <w:hyperlink w:history="1" r:id="rIdszofftekbupiqz41-kw4y">
        <w:r>
          <w:rPr>
            <w:rFonts w:ascii="Times New Roman" w:cs="Times New Roman" w:eastAsia="SimSun" w:hAnsi="Times New Roman"/>
            <w:color w:val="0563C1"/>
            <w:sz w:val="24"/>
            <w:szCs w:val="24"/>
            <w:u w:val="single"/>
          </w:rPr>
          <w:t xml:space="preserve">Dify</w:t>
        </w:r>
      </w:hyperlink>
      <w:r>
        <w:rPr>
          <w:rFonts w:ascii="Times New Roman" w:cs="Times New Roman" w:eastAsia="SimSun" w:hAnsi="Times New Roman"/>
          <w:color w:val="000000"/>
          <w:sz w:val="24"/>
          <w:szCs w:val="24"/>
        </w:rPr>
        <w:t xml:space="preserve">（智能体/工作流平台，151k 星）</w:t>
      </w:r>
    </w:p>
    <w:p>
      <w:pPr>
        <w:pStyle w:val="ListParagraph"/>
        <w:numPr>
          <w:ilvl w:val="0"/>
          <w:numId w:val="2"/>
        </w:numPr>
        <w:spacing w:after="0" w:line="360"/>
        <w:jc w:val="both"/>
      </w:pPr>
      <w:hyperlink w:history="1" r:id="rIdjnjnn2enkm77ksg9nksn4">
        <w:r>
          <w:rPr>
            <w:rFonts w:ascii="Times New Roman" w:cs="Times New Roman" w:eastAsia="SimSun" w:hAnsi="Times New Roman"/>
            <w:color w:val="0563C1"/>
            <w:sz w:val="24"/>
            <w:szCs w:val="24"/>
            <w:u w:val="single"/>
          </w:rPr>
          <w:t xml:space="preserve">RAGFlow</w:t>
        </w:r>
      </w:hyperlink>
      <w:r>
        <w:rPr>
          <w:rFonts w:ascii="Times New Roman" w:cs="Times New Roman" w:eastAsia="SimSun" w:hAnsi="Times New Roman"/>
          <w:color w:val="000000"/>
          <w:sz w:val="24"/>
          <w:szCs w:val="24"/>
        </w:rPr>
        <w:t xml:space="preserve">（RAG 引擎，87k 星）</w:t>
      </w:r>
    </w:p>
    <w:p>
      <w:pPr>
        <w:pStyle w:val="ListParagraph"/>
        <w:numPr>
          <w:ilvl w:val="0"/>
          <w:numId w:val="2"/>
        </w:numPr>
        <w:spacing w:after="0" w:line="360"/>
        <w:jc w:val="both"/>
      </w:pPr>
      <w:hyperlink w:history="1" r:id="rIdguymlzelam3mo-a2nkzgi">
        <w:r>
          <w:rPr>
            <w:rFonts w:ascii="Times New Roman" w:cs="Times New Roman" w:eastAsia="SimSun" w:hAnsi="Times New Roman"/>
            <w:color w:val="0563C1"/>
            <w:sz w:val="24"/>
            <w:szCs w:val="24"/>
            <w:u w:val="single"/>
          </w:rPr>
          <w:t xml:space="preserve">Ultralytics</w:t>
        </w:r>
      </w:hyperlink>
      <w:r>
        <w:rPr>
          <w:rFonts w:ascii="Times New Roman" w:cs="Times New Roman" w:eastAsia="SimSun" w:hAnsi="Times New Roman"/>
          <w:color w:val="000000"/>
          <w:sz w:val="24"/>
          <w:szCs w:val="24"/>
        </w:rPr>
        <w:t xml:space="preserve">（YOLO 框架，60k 星）</w:t>
      </w:r>
    </w:p>
    <w:p>
      <w:pPr>
        <w:pStyle w:val="ListParagraph"/>
        <w:numPr>
          <w:ilvl w:val="0"/>
          <w:numId w:val="2"/>
        </w:numPr>
        <w:spacing w:after="0" w:line="360"/>
        <w:jc w:val="both"/>
      </w:pPr>
      <w:hyperlink w:history="1" r:id="rId8ghy1bwb4tghwaunhz_xb">
        <w:r>
          <w:rPr>
            <w:rFonts w:ascii="Times New Roman" w:cs="Times New Roman" w:eastAsia="SimSun" w:hAnsi="Times New Roman"/>
            <w:color w:val="0563C1"/>
            <w:sz w:val="24"/>
            <w:szCs w:val="24"/>
            <w:u w:val="single"/>
          </w:rPr>
          <w:t xml:space="preserve">PlantDoc</w:t>
        </w:r>
      </w:hyperlink>
      <w:r>
        <w:rPr>
          <w:rFonts w:ascii="Times New Roman" w:cs="Times New Roman" w:eastAsia="SimSun" w:hAnsi="Times New Roman"/>
          <w:color w:val="000000"/>
          <w:sz w:val="24"/>
          <w:szCs w:val="24"/>
        </w:rPr>
        <w:t xml:space="preserve">（病害数据集，427 星）</w:t>
      </w:r>
    </w:p>
    <w:p>
      <w:pPr>
        <w:pStyle w:val="ListParagraph"/>
        <w:numPr>
          <w:ilvl w:val="0"/>
          <w:numId w:val="2"/>
        </w:numPr>
        <w:spacing w:after="0" w:line="360"/>
        <w:jc w:val="both"/>
      </w:pPr>
      <w:r>
        <w:rPr>
          <w:rFonts w:ascii="Times New Roman" w:cs="Times New Roman" w:eastAsia="SimSun" w:hAnsi="Times New Roman"/>
          <w:color w:val="000000"/>
          <w:sz w:val="24"/>
          <w:szCs w:val="24"/>
        </w:rPr>
        <w:t xml:space="preserve">PlantVillage（</w:t>
      </w:r>
      <w:hyperlink w:history="1" r:id="rIddwnv1vokz58iqsyog7d-i">
        <w:r>
          <w:rPr>
            <w:rFonts w:ascii="Times New Roman" w:cs="Times New Roman" w:eastAsia="SimSun" w:hAnsi="Times New Roman"/>
            <w:color w:val="0563C1"/>
            <w:sz w:val="24"/>
            <w:szCs w:val="24"/>
            <w:u w:val="single"/>
          </w:rPr>
          <w:t xml:space="preserve">Kaggle</w:t>
        </w:r>
      </w:hyperlink>
      <w:r>
        <w:rPr>
          <w:rFonts w:ascii="Times New Roman" w:cs="Times New Roman" w:eastAsia="SimSun" w:hAnsi="Times New Roman"/>
          <w:color w:val="000000"/>
          <w:sz w:val="24"/>
          <w:szCs w:val="24"/>
        </w:rPr>
        <w:t xml:space="preserve">，5 万+ 图、38 类）</w:t>
      </w:r>
    </w:p>
    <w:p>
      <w:pPr>
        <w:pStyle w:val="ListParagraph"/>
        <w:numPr>
          <w:ilvl w:val="0"/>
          <w:numId w:val="2"/>
        </w:numPr>
        <w:spacing w:after="0" w:line="360"/>
        <w:jc w:val="both"/>
      </w:pPr>
      <w:r>
        <w:rPr>
          <w:rFonts w:ascii="Times New Roman" w:cs="Times New Roman" w:eastAsia="SimSun" w:hAnsi="Times New Roman"/>
          <w:color w:val="000000"/>
          <w:sz w:val="24"/>
          <w:szCs w:val="24"/>
        </w:rPr>
        <w:t xml:space="preserve">司农（南京农业大学农业大语言模型，8B/32B）</w:t>
      </w:r>
    </w:p>
    <w:p>
      <w:pPr>
        <w:pStyle w:val="ListParagraph"/>
        <w:numPr>
          <w:ilvl w:val="0"/>
          <w:numId w:val="2"/>
        </w:numPr>
        <w:spacing w:after="0" w:line="360"/>
        <w:jc w:val="both"/>
      </w:pPr>
      <w:hyperlink w:history="1" r:id="rIdrt4tzmmhwmsvwqjfqdywd">
        <w:r>
          <w:rPr>
            <w:rFonts w:ascii="Times New Roman" w:cs="Times New Roman" w:eastAsia="SimSun" w:hAnsi="Times New Roman"/>
            <w:color w:val="0563C1"/>
            <w:sz w:val="24"/>
            <w:szCs w:val="24"/>
            <w:u w:val="single"/>
          </w:rPr>
          <w:t xml:space="preserve">AgriAgent</w:t>
        </w:r>
      </w:hyperlink>
      <w:r>
        <w:rPr>
          <w:rFonts w:ascii="Times New Roman" w:cs="Times New Roman" w:eastAsia="SimSun" w:hAnsi="Times New Roman"/>
          <w:color w:val="000000"/>
          <w:sz w:val="24"/>
          <w:szCs w:val="24"/>
        </w:rPr>
        <w:t xml:space="preserve">（农业多模态大模型，125 星）</w:t>
      </w:r>
    </w:p>
    <w:p>
      <w:pPr>
        <w:pStyle w:val="ListParagraph"/>
        <w:numPr>
          <w:ilvl w:val="0"/>
          <w:numId w:val="2"/>
        </w:numPr>
        <w:spacing w:after="0" w:line="360"/>
        <w:jc w:val="both"/>
      </w:pPr>
      <w:hyperlink w:history="1" r:id="rIdegcf45pfdysvqilj8z0rj">
        <w:r>
          <w:rPr>
            <w:rFonts w:ascii="Times New Roman" w:cs="Times New Roman" w:eastAsia="SimSun" w:hAnsi="Times New Roman"/>
            <w:color w:val="0563C1"/>
            <w:sz w:val="24"/>
            <w:szCs w:val="24"/>
            <w:u w:val="single"/>
          </w:rPr>
          <w:t xml:space="preserve">EMQX</w:t>
        </w:r>
      </w:hyperlink>
      <w:r>
        <w:rPr>
          <w:rFonts w:ascii="Times New Roman" w:cs="Times New Roman" w:eastAsia="SimSun" w:hAnsi="Times New Roman"/>
          <w:color w:val="000000"/>
          <w:sz w:val="24"/>
          <w:szCs w:val="24"/>
        </w:rPr>
        <w:t xml:space="preserve">（16.5k 星）/ </w:t>
      </w:r>
      <w:hyperlink w:history="1" r:id="rIdzilj3-a2m0fmg6oha9d5t">
        <w:r>
          <w:rPr>
            <w:rFonts w:ascii="Times New Roman" w:cs="Times New Roman" w:eastAsia="SimSun" w:hAnsi="Times New Roman"/>
            <w:color w:val="0563C1"/>
            <w:sz w:val="24"/>
            <w:szCs w:val="24"/>
            <w:u w:val="single"/>
          </w:rPr>
          <w:t xml:space="preserve">Node-RED</w:t>
        </w:r>
      </w:hyperlink>
      <w:r>
        <w:rPr>
          <w:rFonts w:ascii="Times New Roman" w:cs="Times New Roman" w:eastAsia="SimSun" w:hAnsi="Times New Roman"/>
          <w:color w:val="000000"/>
          <w:sz w:val="24"/>
          <w:szCs w:val="24"/>
        </w:rPr>
        <w:t xml:space="preserve">（23.5k 星）（MQTT Broker 与可视化工具）</w:t>
      </w:r>
    </w:p>
    <w:sectPr>
      <w:footerReference w:type="default" r:id="rId7"/>
      <w:pgSz w:w="11906" w:h="16838" w:orient="portrait"/>
      <w:pgMar w:top="1417" w:right="1417" w:bottom="1417" w:left="1417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SimSun" w:hAnsi="Times New Roman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80" w:hanging="24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updateFields w:val="true"/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SimSun" w:hAnsi="Times New Roman"/>
        <w:sz w:val="24"/>
        <w:szCs w:val="24"/>
      </w:rPr>
    </w:rPrDefault>
    <w:pPrDefault>
      <w:pPr>
        <w:spacing w:after="0" w:line="36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keepNext/>
      <w:spacing w:after="120" w:before="240"/>
      <w:outlineLvl w:val="0"/>
    </w:pPr>
    <w:rPr>
      <w:rFonts w:ascii="Times New Roman" w:cs="Times New Roman" w:eastAsia="SimHei" w:hAnsi="Times New Roman"/>
      <w:b w:val="false"/>
      <w:bCs w:val="false"/>
      <w:sz w:val="32"/>
      <w:szCs w:val="32"/>
    </w:rPr>
  </w:style>
  <w:style w:type="paragraph" w:styleId="Heading2">
    <w:name w:val="Heading 2"/>
    <w:basedOn w:val="Normal"/>
    <w:next w:val="Normal"/>
    <w:qFormat/>
    <w:pPr>
      <w:keepNext/>
      <w:spacing w:after="100" w:before="200"/>
      <w:outlineLvl w:val="1"/>
    </w:pPr>
    <w:rPr>
      <w:rFonts w:ascii="Times New Roman" w:cs="Times New Roman" w:eastAsia="SimHei" w:hAnsi="Times New Roman"/>
      <w:b w:val="false"/>
      <w:bCs w:val="false"/>
      <w:sz w:val="28"/>
      <w:szCs w:val="28"/>
    </w:rPr>
  </w:style>
  <w:style w:type="paragraph" w:styleId="Heading3">
    <w:name w:val="Heading 3"/>
    <w:basedOn w:val="Normal"/>
    <w:next w:val="Normal"/>
    <w:qFormat/>
    <w:pPr>
      <w:keepNext/>
      <w:spacing w:after="80" w:before="160"/>
      <w:outlineLvl w:val="2"/>
    </w:pPr>
    <w:rPr>
      <w:rFonts w:ascii="Times New Roman" w:cs="Times New Roman" w:eastAsia="SimSun" w:hAnsi="Times New Roman"/>
      <w:b/>
      <w:bCs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szofftekbupiqz41-kw4y" Type="http://schemas.openxmlformats.org/officeDocument/2006/relationships/hyperlink" Target="https://github.com/langgenius/dify" TargetMode="External"/><Relationship Id="rIdjnjnn2enkm77ksg9nksn4" Type="http://schemas.openxmlformats.org/officeDocument/2006/relationships/hyperlink" Target="https://github.com/infiniflow/ragflow" TargetMode="External"/><Relationship Id="rIdguymlzelam3mo-a2nkzgi" Type="http://schemas.openxmlformats.org/officeDocument/2006/relationships/hyperlink" Target="https://github.com/ultralytics/ultralytics" TargetMode="External"/><Relationship Id="rId8ghy1bwb4tghwaunhz_xb" Type="http://schemas.openxmlformats.org/officeDocument/2006/relationships/hyperlink" Target="https://github.com/pratikkayal/PlantDoc-Dataset" TargetMode="External"/><Relationship Id="rIddwnv1vokz58iqsyog7d-i" Type="http://schemas.openxmlformats.org/officeDocument/2006/relationships/hyperlink" Target="https://www.kaggle.com/datasets/abdallahalidev/plantvillage-dataset" TargetMode="External"/><Relationship Id="rIdrt4tzmmhwmsvwqjfqdywd" Type="http://schemas.openxmlformats.org/officeDocument/2006/relationships/hyperlink" Target="https://github.com/zhiweihu1103/AgriAgent" TargetMode="External"/><Relationship Id="rIdegcf45pfdysvqilj8z0rj" Type="http://schemas.openxmlformats.org/officeDocument/2006/relationships/hyperlink" Target="https://github.com/emqx/emqx" TargetMode="External"/><Relationship Id="rIdzilj3-a2m0fmg6oha9d5t" Type="http://schemas.openxmlformats.org/officeDocument/2006/relationships/hyperlink" Target="https://github.com/node-red/node-red" TargetMode="External"/><Relationship Id="rId16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SmartFarmAgent 智慧农业智能体系统——项目方案</dc:title>
  <dc:subject>项目方案（导师提交版，v1.7）</dc:subject>
  <dc:creator>LIM</dc:creator>
  <dc:description>导师提交版 v1.7：背景、行业对标与定位、架构、功能、数据链路、可行性、里程碑、创新点、风险与主要开源参考。</dc:description>
  <cp:lastModifiedBy>Un-named</cp:lastModifiedBy>
  <cp:revision>1</cp:revision>
  <dcterms:created xsi:type="dcterms:W3CDTF">2026-08-09T13:18:45.547Z</dcterms:created>
  <dcterms:modified xsi:type="dcterms:W3CDTF">2026-08-09T13:18:45.547Z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