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8F37A" w14:textId="4E75071C" w:rsidR="00D00CC9" w:rsidRPr="006F6094" w:rsidRDefault="00D00CC9" w:rsidP="00683479">
      <w:pPr>
        <w:pStyle w:val="Estilo"/>
        <w:ind w:right="23"/>
        <w:jc w:val="center"/>
        <w:rPr>
          <w:b/>
          <w:bCs/>
          <w:sz w:val="22"/>
          <w:szCs w:val="22"/>
          <w:lang w:val="es-CO"/>
        </w:rPr>
      </w:pPr>
      <w:r w:rsidRPr="006F6094">
        <w:rPr>
          <w:b/>
          <w:bCs/>
          <w:sz w:val="22"/>
          <w:szCs w:val="22"/>
          <w:lang w:val="es-CO"/>
        </w:rPr>
        <w:t>COOPERATIVA DE AHORRO Y CRÉDITO DE AIPE - “COOPEAIPE”</w:t>
      </w:r>
    </w:p>
    <w:p w14:paraId="7A9EA82B" w14:textId="77777777" w:rsidR="006F6094" w:rsidRPr="006F6094" w:rsidRDefault="006F6094" w:rsidP="00683479">
      <w:pPr>
        <w:pStyle w:val="Estilo"/>
        <w:ind w:right="23"/>
        <w:jc w:val="center"/>
        <w:rPr>
          <w:b/>
          <w:bCs/>
          <w:sz w:val="22"/>
          <w:szCs w:val="22"/>
          <w:lang w:val="es-CO"/>
        </w:rPr>
      </w:pPr>
    </w:p>
    <w:p w14:paraId="46633189" w14:textId="300024F7" w:rsidR="006F6094" w:rsidRPr="006F6094" w:rsidRDefault="006F6094" w:rsidP="00683479">
      <w:pPr>
        <w:pStyle w:val="Estilo"/>
        <w:ind w:right="23"/>
        <w:jc w:val="center"/>
        <w:rPr>
          <w:b/>
          <w:sz w:val="22"/>
          <w:szCs w:val="22"/>
          <w:lang w:val="es-CO"/>
        </w:rPr>
      </w:pPr>
      <w:r w:rsidRPr="006F6094">
        <w:rPr>
          <w:b/>
          <w:sz w:val="22"/>
          <w:szCs w:val="22"/>
          <w:lang w:val="es-CO"/>
        </w:rPr>
        <w:t>ACUERDO No 5</w:t>
      </w:r>
      <w:r>
        <w:rPr>
          <w:b/>
          <w:sz w:val="22"/>
          <w:szCs w:val="22"/>
          <w:lang w:val="es-CO"/>
        </w:rPr>
        <w:t>2</w:t>
      </w:r>
      <w:r w:rsidRPr="006F6094">
        <w:rPr>
          <w:b/>
          <w:sz w:val="22"/>
          <w:szCs w:val="22"/>
          <w:lang w:val="es-CO"/>
        </w:rPr>
        <w:t xml:space="preserve"> DEL 12 DE JULIO DE 2022</w:t>
      </w:r>
    </w:p>
    <w:p w14:paraId="5BDF0E2D" w14:textId="77777777" w:rsidR="00D00CC9" w:rsidRPr="006F6094" w:rsidRDefault="00D00CC9" w:rsidP="00683479">
      <w:pPr>
        <w:pStyle w:val="Estilo"/>
        <w:ind w:right="23"/>
        <w:jc w:val="both"/>
        <w:rPr>
          <w:bCs/>
          <w:sz w:val="22"/>
          <w:szCs w:val="22"/>
          <w:lang w:val="es-CO"/>
        </w:rPr>
      </w:pPr>
    </w:p>
    <w:p w14:paraId="172FA86C" w14:textId="48A07346" w:rsidR="00D00CC9" w:rsidRPr="006F6094" w:rsidRDefault="00D00CC9" w:rsidP="00683479">
      <w:pPr>
        <w:pStyle w:val="Estilo"/>
        <w:ind w:right="23"/>
        <w:jc w:val="both"/>
        <w:rPr>
          <w:b/>
          <w:bCs/>
          <w:sz w:val="22"/>
          <w:szCs w:val="22"/>
          <w:lang w:val="es-CO"/>
        </w:rPr>
      </w:pPr>
      <w:r w:rsidRPr="006F6094">
        <w:rPr>
          <w:bCs/>
          <w:sz w:val="22"/>
          <w:szCs w:val="22"/>
          <w:lang w:val="es-CO"/>
        </w:rPr>
        <w:t xml:space="preserve">Por medio del cual se aprueba el </w:t>
      </w:r>
      <w:r w:rsidRPr="006F6094">
        <w:rPr>
          <w:b/>
          <w:sz w:val="22"/>
          <w:szCs w:val="22"/>
          <w:lang w:val="es-CO"/>
        </w:rPr>
        <w:t>MANUAL APLICACIÓN MODELO CAMEL PARA ANÁLISIS DE RIESGO EMISOR – DEPOSITARIO Y CONTRAPARTE,</w:t>
      </w:r>
      <w:r w:rsidRPr="006F6094">
        <w:rPr>
          <w:bCs/>
          <w:sz w:val="22"/>
          <w:szCs w:val="22"/>
          <w:lang w:val="es-CO"/>
        </w:rPr>
        <w:t xml:space="preserve"> de la </w:t>
      </w:r>
      <w:r w:rsidRPr="006F6094">
        <w:rPr>
          <w:b/>
          <w:bCs/>
          <w:sz w:val="22"/>
          <w:szCs w:val="22"/>
          <w:lang w:val="es-CO"/>
        </w:rPr>
        <w:t>COOPERATIVA DE AHORRO Y CRÉDITO DE AIPE - “COOPEAIPE”</w:t>
      </w:r>
    </w:p>
    <w:p w14:paraId="1A5CE312" w14:textId="77777777" w:rsidR="00D00CC9" w:rsidRPr="006F6094" w:rsidRDefault="00D00CC9" w:rsidP="00683479">
      <w:pPr>
        <w:pStyle w:val="Estilo"/>
        <w:ind w:right="23"/>
        <w:jc w:val="both"/>
        <w:rPr>
          <w:bCs/>
          <w:sz w:val="22"/>
          <w:szCs w:val="22"/>
          <w:lang w:val="es-CO"/>
        </w:rPr>
      </w:pPr>
    </w:p>
    <w:p w14:paraId="787FE6FA" w14:textId="77777777" w:rsidR="00D00CC9" w:rsidRPr="006F6094" w:rsidRDefault="00D00CC9" w:rsidP="00683479">
      <w:pPr>
        <w:pStyle w:val="Estilo"/>
        <w:ind w:right="23"/>
        <w:jc w:val="both"/>
        <w:rPr>
          <w:bCs/>
          <w:sz w:val="22"/>
          <w:szCs w:val="22"/>
          <w:lang w:val="es-CO"/>
        </w:rPr>
      </w:pPr>
      <w:r w:rsidRPr="006F6094">
        <w:rPr>
          <w:bCs/>
          <w:sz w:val="22"/>
          <w:szCs w:val="22"/>
          <w:lang w:val="es-CO"/>
        </w:rPr>
        <w:t xml:space="preserve">El Consejo De Administración de la </w:t>
      </w:r>
      <w:r w:rsidRPr="006F6094">
        <w:rPr>
          <w:b/>
          <w:sz w:val="22"/>
          <w:szCs w:val="22"/>
          <w:lang w:val="es-CO"/>
        </w:rPr>
        <w:t>COOPERATIVA DE AHORRO Y CRÉDITO DE AIPE - “</w:t>
      </w:r>
      <w:r w:rsidRPr="006F6094">
        <w:rPr>
          <w:b/>
          <w:bCs/>
          <w:sz w:val="22"/>
          <w:szCs w:val="22"/>
          <w:lang w:val="es-CO"/>
        </w:rPr>
        <w:t>COOPEAIPE</w:t>
      </w:r>
      <w:r w:rsidRPr="006F6094">
        <w:rPr>
          <w:b/>
          <w:sz w:val="22"/>
          <w:szCs w:val="22"/>
          <w:lang w:val="es-CO"/>
        </w:rPr>
        <w:t>”,</w:t>
      </w:r>
      <w:r w:rsidRPr="006F6094">
        <w:rPr>
          <w:bCs/>
          <w:sz w:val="22"/>
          <w:szCs w:val="22"/>
          <w:lang w:val="es-CO"/>
        </w:rPr>
        <w:t xml:space="preserve"> en uso de sus facultades estatutarias que le confiere el Artículo 74 del Estatuto de </w:t>
      </w:r>
      <w:r w:rsidRPr="006F6094">
        <w:rPr>
          <w:b/>
          <w:bCs/>
          <w:sz w:val="22"/>
          <w:szCs w:val="22"/>
          <w:lang w:val="es-CO"/>
        </w:rPr>
        <w:t>COOPEAIPE</w:t>
      </w:r>
      <w:r w:rsidRPr="006F6094">
        <w:rPr>
          <w:bCs/>
          <w:sz w:val="22"/>
          <w:szCs w:val="22"/>
          <w:lang w:val="es-CO"/>
        </w:rPr>
        <w:t xml:space="preserve"> y</w:t>
      </w:r>
    </w:p>
    <w:p w14:paraId="5DCD02EC" w14:textId="77777777" w:rsidR="00D00CC9" w:rsidRPr="006F6094" w:rsidRDefault="00D00CC9" w:rsidP="00683479">
      <w:pPr>
        <w:pStyle w:val="Estilo"/>
        <w:ind w:right="23"/>
        <w:jc w:val="both"/>
        <w:rPr>
          <w:bCs/>
          <w:sz w:val="22"/>
          <w:szCs w:val="22"/>
          <w:lang w:val="es-CO"/>
        </w:rPr>
      </w:pPr>
    </w:p>
    <w:p w14:paraId="1CF60C8D" w14:textId="77777777" w:rsidR="00D00CC9" w:rsidRPr="006F6094" w:rsidRDefault="00D00CC9" w:rsidP="00683479">
      <w:pPr>
        <w:pStyle w:val="Estilo"/>
        <w:ind w:right="23"/>
        <w:jc w:val="center"/>
        <w:rPr>
          <w:bCs/>
          <w:sz w:val="22"/>
          <w:szCs w:val="22"/>
          <w:lang w:val="es-CO"/>
        </w:rPr>
      </w:pPr>
      <w:r w:rsidRPr="006F6094">
        <w:rPr>
          <w:b/>
          <w:sz w:val="22"/>
          <w:szCs w:val="22"/>
          <w:lang w:val="es-CO"/>
        </w:rPr>
        <w:t>CONSIDERANDO</w:t>
      </w:r>
      <w:r w:rsidRPr="006F6094">
        <w:rPr>
          <w:bCs/>
          <w:sz w:val="22"/>
          <w:szCs w:val="22"/>
          <w:lang w:val="es-CO"/>
        </w:rPr>
        <w:t>,</w:t>
      </w:r>
    </w:p>
    <w:p w14:paraId="264C3785" w14:textId="77777777" w:rsidR="00D00CC9" w:rsidRPr="006F6094" w:rsidRDefault="00D00CC9" w:rsidP="00683479">
      <w:pPr>
        <w:pStyle w:val="Estilo"/>
        <w:ind w:right="23"/>
        <w:jc w:val="both"/>
        <w:rPr>
          <w:bCs/>
          <w:sz w:val="22"/>
          <w:szCs w:val="22"/>
          <w:lang w:val="es-CO"/>
        </w:rPr>
      </w:pPr>
    </w:p>
    <w:p w14:paraId="54FAA8EE" w14:textId="77777777" w:rsidR="00D00CC9" w:rsidRPr="006F6094" w:rsidRDefault="00D00CC9" w:rsidP="00683479">
      <w:pPr>
        <w:numPr>
          <w:ilvl w:val="0"/>
          <w:numId w:val="25"/>
        </w:numPr>
        <w:pBdr>
          <w:top w:val="nil"/>
          <w:left w:val="nil"/>
          <w:bottom w:val="nil"/>
          <w:right w:val="nil"/>
          <w:between w:val="nil"/>
        </w:pBdr>
        <w:spacing w:after="0" w:line="240" w:lineRule="auto"/>
        <w:jc w:val="both"/>
        <w:rPr>
          <w:rFonts w:ascii="Arial" w:eastAsia="Arial" w:hAnsi="Arial" w:cs="Arial"/>
        </w:rPr>
      </w:pPr>
      <w:r w:rsidRPr="006F6094">
        <w:rPr>
          <w:rFonts w:ascii="Arial" w:eastAsia="Arial" w:hAnsi="Arial" w:cs="Arial"/>
        </w:rPr>
        <w:t xml:space="preserve">Que de conformidad con el Estatuto de </w:t>
      </w:r>
      <w:r w:rsidRPr="006F6094">
        <w:rPr>
          <w:rFonts w:ascii="Arial" w:eastAsia="Arial" w:hAnsi="Arial" w:cs="Arial"/>
          <w:b/>
          <w:bCs/>
        </w:rPr>
        <w:t>COOPEAIPE</w:t>
      </w:r>
      <w:r w:rsidRPr="006F6094">
        <w:rPr>
          <w:rFonts w:ascii="Arial" w:eastAsia="Arial" w:hAnsi="Arial" w:cs="Arial"/>
        </w:rPr>
        <w:t>, es función del Consejo expedir las reglamentaciones de los diferentes servicios.</w:t>
      </w:r>
    </w:p>
    <w:p w14:paraId="2F2F9478" w14:textId="77777777" w:rsidR="00D00CC9" w:rsidRPr="006F6094" w:rsidRDefault="00D00CC9" w:rsidP="00683479">
      <w:pPr>
        <w:numPr>
          <w:ilvl w:val="0"/>
          <w:numId w:val="25"/>
        </w:numPr>
        <w:pBdr>
          <w:top w:val="nil"/>
          <w:left w:val="nil"/>
          <w:bottom w:val="nil"/>
          <w:right w:val="nil"/>
          <w:between w:val="nil"/>
        </w:pBdr>
        <w:spacing w:after="0" w:line="240" w:lineRule="auto"/>
        <w:jc w:val="both"/>
        <w:rPr>
          <w:rFonts w:ascii="Arial" w:eastAsia="Arial" w:hAnsi="Arial" w:cs="Arial"/>
        </w:rPr>
      </w:pPr>
      <w:r w:rsidRPr="006F6094">
        <w:rPr>
          <w:rFonts w:ascii="Arial" w:eastAsia="Arial" w:hAnsi="Arial" w:cs="Arial"/>
        </w:rPr>
        <w:t>Que se requiere unificar políticas y procedimientos respecto de las operaciones relacionadas con el Riesgo De Mercado.</w:t>
      </w:r>
    </w:p>
    <w:p w14:paraId="4F5F898C" w14:textId="77777777" w:rsidR="00D00CC9" w:rsidRPr="006F6094" w:rsidRDefault="00D00CC9" w:rsidP="00683479">
      <w:pPr>
        <w:numPr>
          <w:ilvl w:val="0"/>
          <w:numId w:val="25"/>
        </w:numPr>
        <w:pBdr>
          <w:top w:val="nil"/>
          <w:left w:val="nil"/>
          <w:bottom w:val="nil"/>
          <w:right w:val="nil"/>
          <w:between w:val="nil"/>
        </w:pBdr>
        <w:spacing w:after="0" w:line="240" w:lineRule="auto"/>
        <w:jc w:val="both"/>
        <w:rPr>
          <w:rFonts w:ascii="Arial" w:eastAsia="Arial" w:hAnsi="Arial" w:cs="Arial"/>
        </w:rPr>
      </w:pPr>
      <w:r w:rsidRPr="006F6094">
        <w:rPr>
          <w:rFonts w:ascii="Arial" w:eastAsia="Arial" w:hAnsi="Arial" w:cs="Arial"/>
        </w:rPr>
        <w:t xml:space="preserve">Que en mérito de lo expuesto </w:t>
      </w:r>
    </w:p>
    <w:p w14:paraId="1F2CA46A" w14:textId="77777777" w:rsidR="00D00CC9" w:rsidRPr="006F6094" w:rsidRDefault="00D00CC9" w:rsidP="00683479">
      <w:pPr>
        <w:pStyle w:val="Prrafodelista"/>
        <w:spacing w:after="0" w:line="240" w:lineRule="auto"/>
        <w:ind w:left="0"/>
        <w:jc w:val="both"/>
        <w:rPr>
          <w:rFonts w:ascii="Arial" w:hAnsi="Arial" w:cs="Arial"/>
          <w:b/>
        </w:rPr>
      </w:pPr>
    </w:p>
    <w:p w14:paraId="0EAC4735" w14:textId="77777777" w:rsidR="00D00CC9" w:rsidRPr="006F6094" w:rsidRDefault="00D00CC9" w:rsidP="00683479">
      <w:pPr>
        <w:pStyle w:val="Prrafodelista"/>
        <w:spacing w:after="0" w:line="240" w:lineRule="auto"/>
        <w:ind w:left="0"/>
        <w:jc w:val="center"/>
        <w:rPr>
          <w:rFonts w:ascii="Arial" w:hAnsi="Arial" w:cs="Arial"/>
          <w:b/>
        </w:rPr>
      </w:pPr>
      <w:r w:rsidRPr="006F6094">
        <w:rPr>
          <w:rFonts w:ascii="Arial" w:hAnsi="Arial" w:cs="Arial"/>
          <w:b/>
        </w:rPr>
        <w:t>ACUERDA:</w:t>
      </w:r>
    </w:p>
    <w:p w14:paraId="023487C9" w14:textId="77777777" w:rsidR="00D00CC9" w:rsidRPr="006F6094" w:rsidRDefault="00D00CC9" w:rsidP="00683479">
      <w:pPr>
        <w:pBdr>
          <w:top w:val="nil"/>
          <w:left w:val="nil"/>
          <w:bottom w:val="nil"/>
          <w:right w:val="nil"/>
          <w:between w:val="nil"/>
        </w:pBdr>
        <w:spacing w:after="0" w:line="240" w:lineRule="auto"/>
        <w:jc w:val="both"/>
        <w:rPr>
          <w:rFonts w:ascii="Arial" w:eastAsia="Arial" w:hAnsi="Arial" w:cs="Arial"/>
          <w:b/>
        </w:rPr>
      </w:pPr>
    </w:p>
    <w:p w14:paraId="3449E118" w14:textId="2C66E417" w:rsidR="00D00CC9" w:rsidRPr="006F6094" w:rsidRDefault="00D00CC9" w:rsidP="00683479">
      <w:pPr>
        <w:pStyle w:val="Default"/>
        <w:numPr>
          <w:ilvl w:val="0"/>
          <w:numId w:val="26"/>
        </w:numPr>
        <w:jc w:val="both"/>
        <w:rPr>
          <w:color w:val="auto"/>
          <w:sz w:val="22"/>
          <w:szCs w:val="22"/>
        </w:rPr>
      </w:pPr>
      <w:bookmarkStart w:id="0" w:name="_heading=h.gjdgxs" w:colFirst="0" w:colLast="0"/>
      <w:bookmarkEnd w:id="0"/>
      <w:r w:rsidRPr="006F6094">
        <w:rPr>
          <w:rFonts w:eastAsia="MS PGothic"/>
          <w:color w:val="auto"/>
          <w:sz w:val="22"/>
          <w:szCs w:val="22"/>
          <w:lang w:eastAsia="en-US"/>
        </w:rPr>
        <w:t xml:space="preserve">Aprobar la Versión 1 del </w:t>
      </w:r>
      <w:r w:rsidRPr="006F6094">
        <w:rPr>
          <w:rFonts w:eastAsia="MS PGothic"/>
          <w:b/>
          <w:bCs/>
          <w:color w:val="auto"/>
          <w:sz w:val="22"/>
          <w:szCs w:val="22"/>
          <w:lang w:eastAsia="en-US"/>
        </w:rPr>
        <w:t xml:space="preserve">MANUAL APLICACIÓN MODELO CAMEL PARA ANÁLISIS DE RIESGO EMISOR – DEPOSITARIO Y CONTRAPARTE </w:t>
      </w:r>
      <w:r w:rsidRPr="006F6094">
        <w:rPr>
          <w:rFonts w:eastAsia="MS PGothic"/>
          <w:color w:val="auto"/>
          <w:sz w:val="22"/>
          <w:szCs w:val="22"/>
          <w:lang w:eastAsia="en-US"/>
        </w:rPr>
        <w:t xml:space="preserve">para </w:t>
      </w:r>
      <w:r w:rsidRPr="006F6094">
        <w:rPr>
          <w:rFonts w:eastAsia="MS PGothic"/>
          <w:b/>
          <w:bCs/>
          <w:color w:val="auto"/>
          <w:sz w:val="22"/>
          <w:szCs w:val="22"/>
          <w:lang w:eastAsia="en-US"/>
        </w:rPr>
        <w:t>COOPEAIPE</w:t>
      </w:r>
      <w:r w:rsidRPr="006F6094">
        <w:rPr>
          <w:rFonts w:eastAsia="MS PGothic"/>
          <w:color w:val="auto"/>
          <w:sz w:val="22"/>
          <w:szCs w:val="22"/>
          <w:lang w:eastAsia="en-US"/>
        </w:rPr>
        <w:t xml:space="preserve">, código </w:t>
      </w:r>
      <w:proofErr w:type="spellStart"/>
      <w:r w:rsidRPr="006F6094">
        <w:rPr>
          <w:rFonts w:eastAsia="MS PGothic"/>
          <w:b/>
          <w:bCs/>
          <w:color w:val="auto"/>
          <w:sz w:val="22"/>
          <w:szCs w:val="22"/>
          <w:lang w:eastAsia="en-US"/>
        </w:rPr>
        <w:t>SRMA10</w:t>
      </w:r>
      <w:proofErr w:type="spellEnd"/>
      <w:r w:rsidRPr="006F6094">
        <w:rPr>
          <w:rFonts w:eastAsia="MS PGothic"/>
          <w:b/>
          <w:bCs/>
          <w:color w:val="auto"/>
          <w:sz w:val="22"/>
          <w:szCs w:val="22"/>
          <w:lang w:eastAsia="en-US"/>
        </w:rPr>
        <w:t xml:space="preserve"> MANUAL APLICACIÓN MODELO CAMEL PARA ANÁLISIS DE RIESGO EMISOR – DEPOSITARIO Y CONTRAPARTE V1, </w:t>
      </w:r>
      <w:r w:rsidRPr="006F6094">
        <w:rPr>
          <w:rFonts w:eastAsia="MS PGothic"/>
          <w:color w:val="auto"/>
          <w:sz w:val="22"/>
          <w:szCs w:val="22"/>
          <w:lang w:eastAsia="en-US"/>
        </w:rPr>
        <w:t>anexo 1, así mismo lo no previsto en ellos se regirá por las leyes vigentes sobre la materia.</w:t>
      </w:r>
    </w:p>
    <w:p w14:paraId="114D1C9B" w14:textId="77777777" w:rsidR="00D00CC9" w:rsidRPr="006F6094" w:rsidRDefault="00D00CC9" w:rsidP="00683479">
      <w:pPr>
        <w:pStyle w:val="Default"/>
        <w:jc w:val="both"/>
        <w:rPr>
          <w:color w:val="auto"/>
          <w:sz w:val="22"/>
          <w:szCs w:val="22"/>
        </w:rPr>
      </w:pPr>
    </w:p>
    <w:p w14:paraId="564F2A58" w14:textId="77777777" w:rsidR="00D00CC9" w:rsidRPr="006F6094" w:rsidRDefault="00D00CC9" w:rsidP="00683479">
      <w:pPr>
        <w:pStyle w:val="Default"/>
        <w:numPr>
          <w:ilvl w:val="0"/>
          <w:numId w:val="26"/>
        </w:numPr>
        <w:jc w:val="both"/>
        <w:rPr>
          <w:color w:val="auto"/>
          <w:sz w:val="22"/>
          <w:szCs w:val="22"/>
        </w:rPr>
      </w:pPr>
      <w:r w:rsidRPr="006F6094">
        <w:rPr>
          <w:b/>
          <w:color w:val="auto"/>
          <w:sz w:val="22"/>
          <w:szCs w:val="22"/>
          <w:lang w:eastAsia="en-US"/>
        </w:rPr>
        <w:t xml:space="preserve">ÁMBITO DE APLICACIÓN: </w:t>
      </w:r>
      <w:r w:rsidRPr="006F6094">
        <w:rPr>
          <w:rFonts w:eastAsia="MS PGothic"/>
          <w:color w:val="auto"/>
          <w:sz w:val="22"/>
          <w:szCs w:val="22"/>
          <w:lang w:eastAsia="en-US"/>
        </w:rPr>
        <w:t xml:space="preserve">El presente acuerdo será aplicable a todos los miembros del Consejo de Administración, Junta de vigilancia, comités especializados, funcionarios y, en general, a todos los asociados de </w:t>
      </w:r>
      <w:r w:rsidRPr="006F6094">
        <w:rPr>
          <w:rFonts w:eastAsia="MS PGothic"/>
          <w:b/>
          <w:bCs/>
          <w:color w:val="auto"/>
          <w:sz w:val="22"/>
          <w:szCs w:val="22"/>
          <w:lang w:eastAsia="en-US"/>
        </w:rPr>
        <w:t>COOPEAIPE</w:t>
      </w:r>
      <w:r w:rsidRPr="006F6094">
        <w:rPr>
          <w:rFonts w:eastAsia="MS PGothic"/>
          <w:color w:val="auto"/>
          <w:sz w:val="22"/>
          <w:szCs w:val="22"/>
          <w:lang w:eastAsia="en-US"/>
        </w:rPr>
        <w:t>.</w:t>
      </w:r>
    </w:p>
    <w:p w14:paraId="3618491C" w14:textId="77777777" w:rsidR="00D00CC9" w:rsidRPr="006F6094" w:rsidRDefault="00D00CC9" w:rsidP="00683479">
      <w:pPr>
        <w:pStyle w:val="Default"/>
        <w:jc w:val="both"/>
        <w:rPr>
          <w:color w:val="auto"/>
          <w:sz w:val="22"/>
          <w:szCs w:val="22"/>
        </w:rPr>
      </w:pPr>
    </w:p>
    <w:p w14:paraId="5CB99A86" w14:textId="396917D3" w:rsidR="00D00CC9" w:rsidRPr="006F6094" w:rsidRDefault="00D00CC9" w:rsidP="00683479">
      <w:pPr>
        <w:pStyle w:val="Default"/>
        <w:numPr>
          <w:ilvl w:val="0"/>
          <w:numId w:val="26"/>
        </w:numPr>
        <w:jc w:val="both"/>
        <w:rPr>
          <w:color w:val="auto"/>
          <w:sz w:val="22"/>
          <w:szCs w:val="22"/>
        </w:rPr>
      </w:pPr>
      <w:r w:rsidRPr="006F6094">
        <w:rPr>
          <w:rFonts w:eastAsia="Arial"/>
          <w:b/>
          <w:color w:val="auto"/>
          <w:sz w:val="22"/>
          <w:szCs w:val="22"/>
        </w:rPr>
        <w:t>CONFIDENCIALIDAD Y MANEJO DE INFORMACIÓN</w:t>
      </w:r>
      <w:r w:rsidRPr="006F6094">
        <w:rPr>
          <w:rFonts w:eastAsia="Arial"/>
          <w:bCs/>
          <w:color w:val="auto"/>
          <w:sz w:val="22"/>
          <w:szCs w:val="22"/>
        </w:rPr>
        <w:t xml:space="preserve">: Las actuaciones contempladas en este acuerdo, son de estricto carácter confidencial y, en consecuencia, no deberá divulgarlas individualmente, por lo tanto, los asuntos o decisiones tratados o adoptados, así como todos los aspectos internos de </w:t>
      </w:r>
      <w:r w:rsidRPr="006F6094">
        <w:rPr>
          <w:rFonts w:eastAsia="Arial"/>
          <w:b/>
          <w:bCs/>
          <w:color w:val="auto"/>
          <w:sz w:val="22"/>
          <w:szCs w:val="22"/>
        </w:rPr>
        <w:t>COOPEAIPE</w:t>
      </w:r>
      <w:r w:rsidRPr="006F6094">
        <w:rPr>
          <w:rFonts w:eastAsia="Arial"/>
          <w:bCs/>
          <w:color w:val="auto"/>
          <w:sz w:val="22"/>
          <w:szCs w:val="22"/>
        </w:rPr>
        <w:t xml:space="preserve"> relacionados, solamente podrán ser dados a conocer a través de los canales formales de comunicación de </w:t>
      </w:r>
      <w:r w:rsidRPr="006F6094">
        <w:rPr>
          <w:rFonts w:eastAsia="Arial"/>
          <w:b/>
          <w:bCs/>
          <w:color w:val="auto"/>
          <w:sz w:val="22"/>
          <w:szCs w:val="22"/>
        </w:rPr>
        <w:t>COOPEAIPE</w:t>
      </w:r>
      <w:r w:rsidRPr="006F6094">
        <w:rPr>
          <w:rFonts w:eastAsia="Arial"/>
          <w:bCs/>
          <w:color w:val="auto"/>
          <w:sz w:val="22"/>
          <w:szCs w:val="22"/>
        </w:rPr>
        <w:t xml:space="preserve"> y únicamente a las personas, órganos o entidades a quienes corresponda conocerlos.</w:t>
      </w:r>
    </w:p>
    <w:p w14:paraId="0FC3D717" w14:textId="77777777" w:rsidR="00954B0E" w:rsidRPr="006F6094" w:rsidRDefault="00954B0E" w:rsidP="00683479">
      <w:pPr>
        <w:pStyle w:val="Default"/>
        <w:jc w:val="both"/>
        <w:rPr>
          <w:color w:val="auto"/>
          <w:sz w:val="22"/>
          <w:szCs w:val="22"/>
        </w:rPr>
      </w:pPr>
    </w:p>
    <w:p w14:paraId="576A0156" w14:textId="59ECDD9C" w:rsidR="00D00CC9" w:rsidRPr="006F6094" w:rsidRDefault="00D00CC9" w:rsidP="00683479">
      <w:pPr>
        <w:pStyle w:val="Default"/>
        <w:numPr>
          <w:ilvl w:val="0"/>
          <w:numId w:val="26"/>
        </w:numPr>
        <w:jc w:val="both"/>
        <w:rPr>
          <w:color w:val="auto"/>
          <w:sz w:val="22"/>
          <w:szCs w:val="22"/>
        </w:rPr>
      </w:pPr>
      <w:r w:rsidRPr="006F6094">
        <w:rPr>
          <w:rFonts w:eastAsia="Arial"/>
          <w:b/>
          <w:color w:val="auto"/>
          <w:sz w:val="22"/>
          <w:szCs w:val="22"/>
        </w:rPr>
        <w:t>APLICACIÓN DE NORMAS SUPERIORES:</w:t>
      </w:r>
      <w:r w:rsidRPr="006F6094">
        <w:rPr>
          <w:rFonts w:eastAsia="Arial"/>
          <w:bCs/>
          <w:color w:val="auto"/>
          <w:sz w:val="22"/>
          <w:szCs w:val="22"/>
        </w:rPr>
        <w:t xml:space="preserve"> Los casos no previstos en este acuerdo y que no hayan sido desarrollados mediante reglamentaciones internas, se resolverán conforme a la Ley o Decretos especiales y concordantes sobre la materia, las normas emanadas de la Supersolidaria o el Organismo competente.</w:t>
      </w:r>
    </w:p>
    <w:p w14:paraId="18C22759" w14:textId="1CF3A193" w:rsidR="00D00CC9" w:rsidRPr="006F6094" w:rsidRDefault="00D00CC9" w:rsidP="00683479">
      <w:pPr>
        <w:pStyle w:val="Default"/>
        <w:numPr>
          <w:ilvl w:val="0"/>
          <w:numId w:val="26"/>
        </w:numPr>
        <w:jc w:val="both"/>
        <w:rPr>
          <w:color w:val="auto"/>
          <w:sz w:val="22"/>
          <w:szCs w:val="22"/>
        </w:rPr>
      </w:pPr>
      <w:r w:rsidRPr="006F6094">
        <w:rPr>
          <w:rFonts w:eastAsia="Arial"/>
          <w:b/>
          <w:color w:val="auto"/>
          <w:sz w:val="22"/>
          <w:szCs w:val="22"/>
        </w:rPr>
        <w:lastRenderedPageBreak/>
        <w:t>MODIFICACIONES</w:t>
      </w:r>
      <w:r w:rsidRPr="006F6094">
        <w:rPr>
          <w:rFonts w:eastAsia="Arial"/>
          <w:bCs/>
          <w:color w:val="auto"/>
          <w:sz w:val="22"/>
          <w:szCs w:val="22"/>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498A4E5B" w14:textId="77777777" w:rsidR="00954B0E" w:rsidRPr="006F6094" w:rsidRDefault="00954B0E" w:rsidP="00683479">
      <w:pPr>
        <w:pStyle w:val="Default"/>
        <w:jc w:val="both"/>
        <w:rPr>
          <w:color w:val="auto"/>
          <w:sz w:val="22"/>
          <w:szCs w:val="22"/>
        </w:rPr>
      </w:pPr>
    </w:p>
    <w:p w14:paraId="6B6C3268" w14:textId="77777777" w:rsidR="00D00CC9" w:rsidRPr="006F6094" w:rsidRDefault="00D00CC9" w:rsidP="00683479">
      <w:pPr>
        <w:pStyle w:val="Default"/>
        <w:numPr>
          <w:ilvl w:val="0"/>
          <w:numId w:val="26"/>
        </w:numPr>
        <w:jc w:val="both"/>
        <w:rPr>
          <w:color w:val="auto"/>
          <w:sz w:val="22"/>
          <w:szCs w:val="22"/>
        </w:rPr>
      </w:pPr>
      <w:r w:rsidRPr="006F6094">
        <w:rPr>
          <w:rFonts w:eastAsia="Arial"/>
          <w:b/>
          <w:color w:val="auto"/>
          <w:sz w:val="22"/>
          <w:szCs w:val="22"/>
        </w:rPr>
        <w:t>NORMAS APLICABLES</w:t>
      </w:r>
      <w:r w:rsidRPr="006F6094">
        <w:rPr>
          <w:rFonts w:eastAsia="Arial"/>
          <w:bCs/>
          <w:color w:val="auto"/>
          <w:sz w:val="22"/>
          <w:szCs w:val="22"/>
        </w:rPr>
        <w:t>: además de las normas del presente acuerdo, se ceñirá a las que sean pertinente de la legislación cooperativa y solidaria, el Estatuto u otros reglamento interno o mandatos especiales de la Asamblea General o a normas de cumplimiento obligatorio emanadas de autoridades competentes.</w:t>
      </w:r>
    </w:p>
    <w:p w14:paraId="30D6BF03" w14:textId="77777777" w:rsidR="00D00CC9" w:rsidRPr="006F6094" w:rsidRDefault="00D00CC9" w:rsidP="00683479">
      <w:pPr>
        <w:pStyle w:val="Default"/>
        <w:jc w:val="both"/>
        <w:rPr>
          <w:color w:val="auto"/>
          <w:sz w:val="22"/>
          <w:szCs w:val="22"/>
        </w:rPr>
      </w:pPr>
    </w:p>
    <w:p w14:paraId="396A9A0D" w14:textId="77777777" w:rsidR="00D00CC9" w:rsidRPr="006F6094" w:rsidRDefault="00D00CC9" w:rsidP="00683479">
      <w:pPr>
        <w:pStyle w:val="Default"/>
        <w:numPr>
          <w:ilvl w:val="0"/>
          <w:numId w:val="26"/>
        </w:numPr>
        <w:jc w:val="both"/>
        <w:rPr>
          <w:color w:val="auto"/>
          <w:sz w:val="22"/>
          <w:szCs w:val="22"/>
        </w:rPr>
      </w:pPr>
      <w:r w:rsidRPr="006F6094">
        <w:rPr>
          <w:rFonts w:eastAsia="Arial"/>
          <w:b/>
          <w:color w:val="auto"/>
          <w:sz w:val="22"/>
          <w:szCs w:val="22"/>
        </w:rPr>
        <w:t>MATERIAS NO REGULADAS</w:t>
      </w:r>
      <w:r w:rsidRPr="006F6094">
        <w:rPr>
          <w:rFonts w:eastAsia="Arial"/>
          <w:bCs/>
          <w:color w:val="auto"/>
          <w:sz w:val="22"/>
          <w:szCs w:val="22"/>
        </w:rPr>
        <w:t xml:space="preserve">: las materias y situaciones no reguladas en el presente acuerdo, así como las dudas de interpretación, serán resueltas por el Consejo de Administración de </w:t>
      </w:r>
      <w:r w:rsidRPr="006F6094">
        <w:rPr>
          <w:rFonts w:eastAsia="Arial"/>
          <w:b/>
          <w:bCs/>
          <w:color w:val="auto"/>
          <w:sz w:val="22"/>
          <w:szCs w:val="22"/>
        </w:rPr>
        <w:t>COOPEAIPE</w:t>
      </w:r>
      <w:r w:rsidRPr="006F6094">
        <w:rPr>
          <w:rFonts w:eastAsia="Arial"/>
          <w:bCs/>
          <w:color w:val="auto"/>
          <w:sz w:val="22"/>
          <w:szCs w:val="22"/>
        </w:rPr>
        <w:t xml:space="preserve"> con el voto favorable de la mayoría absoluta (las dos terceras 2/3 partes) de los asistentes</w:t>
      </w:r>
      <w:r w:rsidRPr="006F6094">
        <w:rPr>
          <w:color w:val="auto"/>
          <w:sz w:val="22"/>
          <w:szCs w:val="22"/>
        </w:rPr>
        <w:t>.</w:t>
      </w:r>
    </w:p>
    <w:p w14:paraId="49A4B4E5" w14:textId="77777777" w:rsidR="00D00CC9" w:rsidRPr="006F6094" w:rsidRDefault="00D00CC9" w:rsidP="00683479">
      <w:pPr>
        <w:pStyle w:val="Default"/>
        <w:jc w:val="both"/>
        <w:rPr>
          <w:color w:val="auto"/>
          <w:sz w:val="22"/>
          <w:szCs w:val="22"/>
        </w:rPr>
      </w:pPr>
    </w:p>
    <w:p w14:paraId="4EBC9CAB" w14:textId="61A6B4A4" w:rsidR="00D00CC9" w:rsidRPr="00246BA9" w:rsidRDefault="00D00CC9" w:rsidP="00683479">
      <w:pPr>
        <w:pStyle w:val="Default"/>
        <w:numPr>
          <w:ilvl w:val="0"/>
          <w:numId w:val="26"/>
        </w:numPr>
        <w:jc w:val="both"/>
        <w:rPr>
          <w:color w:val="auto"/>
          <w:sz w:val="22"/>
          <w:szCs w:val="22"/>
        </w:rPr>
      </w:pPr>
      <w:r w:rsidRPr="006F6094">
        <w:rPr>
          <w:rFonts w:eastAsia="Arial"/>
          <w:b/>
          <w:color w:val="auto"/>
          <w:sz w:val="22"/>
          <w:szCs w:val="22"/>
        </w:rPr>
        <w:t>VIGENCIA</w:t>
      </w:r>
      <w:r w:rsidRPr="006F6094">
        <w:rPr>
          <w:rFonts w:eastAsia="Arial"/>
          <w:bCs/>
          <w:color w:val="auto"/>
          <w:sz w:val="22"/>
          <w:szCs w:val="22"/>
        </w:rPr>
        <w:t>: El presente acuerdo rige a partir de la fecha de su aprobación, por parte del Consejo de Administración y deroga todas las normas anteriores sobre la materia.</w:t>
      </w:r>
    </w:p>
    <w:p w14:paraId="536CE9EB" w14:textId="77777777" w:rsidR="00246BA9" w:rsidRPr="006F6094" w:rsidRDefault="00246BA9" w:rsidP="00246BA9">
      <w:pPr>
        <w:pStyle w:val="Default"/>
        <w:jc w:val="both"/>
        <w:rPr>
          <w:color w:val="auto"/>
          <w:sz w:val="22"/>
          <w:szCs w:val="22"/>
        </w:rPr>
      </w:pPr>
    </w:p>
    <w:p w14:paraId="6F4B4080" w14:textId="77777777" w:rsidR="00246BA9" w:rsidRDefault="00246BA9" w:rsidP="00246BA9">
      <w:pPr>
        <w:pStyle w:val="Default"/>
        <w:numPr>
          <w:ilvl w:val="0"/>
          <w:numId w:val="26"/>
        </w:numPr>
        <w:jc w:val="both"/>
        <w:rPr>
          <w:color w:val="auto"/>
          <w:sz w:val="22"/>
          <w:szCs w:val="22"/>
        </w:rPr>
      </w:pPr>
      <w:r>
        <w:rPr>
          <w:bCs/>
          <w:color w:val="auto"/>
          <w:sz w:val="22"/>
          <w:szCs w:val="22"/>
          <w:lang w:eastAsia="en-US"/>
        </w:rPr>
        <w:t>El presente acuerdo fue socializado y aprobado en reunión de Consejo de Administración en sesión realizada el 12 de julio de 2022, según consta en el acta número 12 del año 2022</w:t>
      </w:r>
    </w:p>
    <w:p w14:paraId="34F66231" w14:textId="77777777" w:rsidR="00246BA9" w:rsidRDefault="00246BA9" w:rsidP="00246BA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6B21B6A8" w14:textId="77777777" w:rsidR="00246BA9" w:rsidRDefault="00246BA9" w:rsidP="00246BA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07694877" w14:textId="77777777" w:rsidR="00246BA9" w:rsidRDefault="00246BA9" w:rsidP="00246BA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6D0DB367" w14:textId="77777777" w:rsidR="00246BA9" w:rsidRDefault="00246BA9" w:rsidP="00246BA9">
      <w:pPr>
        <w:spacing w:after="0" w:line="240" w:lineRule="auto"/>
        <w:jc w:val="both"/>
        <w:rPr>
          <w:rFonts w:ascii="Arial" w:hAnsi="Arial" w:cs="Arial"/>
          <w:bCs/>
          <w:lang w:val="es-ES"/>
        </w:rPr>
      </w:pPr>
      <w:r>
        <w:rPr>
          <w:rFonts w:ascii="Arial" w:hAnsi="Arial" w:cs="Arial"/>
          <w:bCs/>
          <w:lang w:val="es-ES"/>
        </w:rPr>
        <w:t xml:space="preserve">Presidente Consejo de Administración           </w:t>
      </w:r>
      <w:r>
        <w:rPr>
          <w:rFonts w:ascii="Arial" w:hAnsi="Arial" w:cs="Arial"/>
          <w:bCs/>
          <w:lang w:val="es-ES"/>
        </w:rPr>
        <w:tab/>
        <w:t>secretario Consejo de Administración</w:t>
      </w:r>
    </w:p>
    <w:p w14:paraId="41A85CC5" w14:textId="77777777" w:rsidR="00246BA9" w:rsidRDefault="00246BA9" w:rsidP="00246BA9">
      <w:pPr>
        <w:pStyle w:val="Default"/>
        <w:jc w:val="both"/>
        <w:rPr>
          <w:bCs/>
          <w:color w:val="auto"/>
          <w:sz w:val="22"/>
          <w:szCs w:val="22"/>
          <w:lang w:eastAsia="en-US"/>
        </w:rPr>
      </w:pPr>
    </w:p>
    <w:p w14:paraId="72FBD033" w14:textId="77777777" w:rsidR="00246BA9" w:rsidRDefault="00246BA9" w:rsidP="00246BA9">
      <w:pPr>
        <w:pStyle w:val="Default"/>
        <w:jc w:val="both"/>
        <w:rPr>
          <w:bCs/>
          <w:color w:val="auto"/>
          <w:sz w:val="22"/>
          <w:szCs w:val="22"/>
          <w:lang w:eastAsia="en-US"/>
        </w:rPr>
      </w:pPr>
    </w:p>
    <w:p w14:paraId="416F1E2D" w14:textId="77777777" w:rsidR="00246BA9" w:rsidRDefault="00246BA9" w:rsidP="00246BA9">
      <w:pPr>
        <w:pStyle w:val="Default"/>
        <w:jc w:val="both"/>
        <w:rPr>
          <w:color w:val="auto"/>
          <w:sz w:val="22"/>
          <w:szCs w:val="22"/>
        </w:rPr>
      </w:pPr>
      <w:r>
        <w:rPr>
          <w:bCs/>
          <w:color w:val="auto"/>
          <w:sz w:val="22"/>
          <w:szCs w:val="22"/>
          <w:lang w:eastAsia="en-US"/>
        </w:rPr>
        <w:t>El presente acuerdo fue socializado y aprobado en reunión de Consejo de Administración en sesión realizada el 12 de julio de 2022, según consta en el acta número 12 del año 2022</w:t>
      </w:r>
    </w:p>
    <w:p w14:paraId="1D3624ED" w14:textId="77777777" w:rsidR="00D00CC9" w:rsidRPr="006F6094" w:rsidRDefault="00D00CC9" w:rsidP="00683479">
      <w:pPr>
        <w:spacing w:after="0" w:line="240" w:lineRule="auto"/>
        <w:jc w:val="center"/>
        <w:rPr>
          <w:rFonts w:ascii="Arial" w:hAnsi="Arial" w:cs="Arial"/>
          <w:b/>
          <w:bCs/>
        </w:rPr>
        <w:sectPr w:rsidR="00D00CC9" w:rsidRPr="006F6094" w:rsidSect="00D00CC9">
          <w:headerReference w:type="default" r:id="rId8"/>
          <w:footerReference w:type="default" r:id="rId9"/>
          <w:pgSz w:w="12240" w:h="15840" w:code="1"/>
          <w:pgMar w:top="1440" w:right="1440" w:bottom="1440" w:left="1440" w:header="1440" w:footer="1440" w:gutter="0"/>
          <w:cols w:space="708"/>
          <w:docGrid w:linePitch="360"/>
        </w:sectPr>
      </w:pPr>
    </w:p>
    <w:p w14:paraId="79DE895C" w14:textId="5DBC4647" w:rsidR="00962017" w:rsidRPr="006F6094" w:rsidRDefault="00D00CC9" w:rsidP="00683479">
      <w:pPr>
        <w:spacing w:after="0" w:line="240" w:lineRule="auto"/>
        <w:jc w:val="center"/>
        <w:rPr>
          <w:rFonts w:ascii="Arial" w:hAnsi="Arial" w:cs="Arial"/>
          <w:b/>
          <w:bCs/>
        </w:rPr>
      </w:pPr>
      <w:r w:rsidRPr="006F6094">
        <w:rPr>
          <w:rFonts w:ascii="Arial" w:hAnsi="Arial" w:cs="Arial"/>
          <w:b/>
          <w:bCs/>
        </w:rPr>
        <w:lastRenderedPageBreak/>
        <w:t>ANEXO 1</w:t>
      </w:r>
    </w:p>
    <w:p w14:paraId="69488F12" w14:textId="77777777" w:rsidR="00962017" w:rsidRPr="006F6094" w:rsidRDefault="00962017" w:rsidP="00683479">
      <w:pPr>
        <w:spacing w:after="0" w:line="240" w:lineRule="auto"/>
        <w:jc w:val="center"/>
        <w:rPr>
          <w:rFonts w:ascii="Arial" w:hAnsi="Arial" w:cs="Arial"/>
          <w:b/>
          <w:bCs/>
        </w:rPr>
      </w:pPr>
    </w:p>
    <w:p w14:paraId="1FA5A119" w14:textId="77777777" w:rsidR="00962017" w:rsidRPr="006F6094" w:rsidRDefault="00962017" w:rsidP="00683479">
      <w:pPr>
        <w:spacing w:after="0" w:line="240" w:lineRule="auto"/>
        <w:jc w:val="center"/>
        <w:rPr>
          <w:rFonts w:ascii="Arial" w:hAnsi="Arial" w:cs="Arial"/>
          <w:b/>
          <w:bCs/>
        </w:rPr>
      </w:pPr>
    </w:p>
    <w:p w14:paraId="302203B7" w14:textId="77777777" w:rsidR="00962017" w:rsidRPr="006F6094" w:rsidRDefault="00962017" w:rsidP="00683479">
      <w:pPr>
        <w:spacing w:after="0" w:line="240" w:lineRule="auto"/>
        <w:jc w:val="center"/>
        <w:rPr>
          <w:rFonts w:ascii="Arial" w:hAnsi="Arial" w:cs="Arial"/>
          <w:b/>
          <w:bCs/>
        </w:rPr>
      </w:pPr>
    </w:p>
    <w:p w14:paraId="23F54FD6" w14:textId="77777777" w:rsidR="00962017" w:rsidRPr="006F6094" w:rsidRDefault="00962017" w:rsidP="00683479">
      <w:pPr>
        <w:spacing w:after="0" w:line="240" w:lineRule="auto"/>
        <w:jc w:val="center"/>
        <w:rPr>
          <w:rFonts w:ascii="Arial" w:hAnsi="Arial" w:cs="Arial"/>
          <w:b/>
          <w:bCs/>
        </w:rPr>
      </w:pPr>
    </w:p>
    <w:p w14:paraId="15047BBE" w14:textId="77777777" w:rsidR="00335845" w:rsidRPr="006F6094" w:rsidRDefault="00335845" w:rsidP="00683479">
      <w:pPr>
        <w:spacing w:after="0" w:line="240" w:lineRule="auto"/>
        <w:jc w:val="center"/>
        <w:rPr>
          <w:rFonts w:ascii="Arial" w:hAnsi="Arial" w:cs="Arial"/>
          <w:b/>
          <w:bCs/>
        </w:rPr>
      </w:pPr>
    </w:p>
    <w:p w14:paraId="680BE7EF" w14:textId="77777777" w:rsidR="00335845" w:rsidRPr="00246BA9" w:rsidRDefault="00335845" w:rsidP="00683479">
      <w:pPr>
        <w:spacing w:after="0" w:line="240" w:lineRule="auto"/>
        <w:jc w:val="center"/>
        <w:rPr>
          <w:rFonts w:ascii="Arial" w:hAnsi="Arial" w:cs="Arial"/>
          <w:b/>
          <w:bCs/>
          <w:sz w:val="60"/>
          <w:szCs w:val="60"/>
        </w:rPr>
      </w:pPr>
    </w:p>
    <w:p w14:paraId="2BCDB9B5" w14:textId="77777777" w:rsidR="00962017" w:rsidRPr="00246BA9" w:rsidRDefault="00962017" w:rsidP="00683479">
      <w:pPr>
        <w:spacing w:after="0" w:line="240" w:lineRule="auto"/>
        <w:jc w:val="center"/>
        <w:rPr>
          <w:rFonts w:ascii="Arial" w:hAnsi="Arial" w:cs="Arial"/>
          <w:b/>
          <w:bCs/>
          <w:sz w:val="60"/>
          <w:szCs w:val="60"/>
        </w:rPr>
      </w:pPr>
    </w:p>
    <w:p w14:paraId="0E5A0E3A" w14:textId="77777777" w:rsidR="00962017" w:rsidRPr="00246BA9" w:rsidRDefault="00962017" w:rsidP="00683479">
      <w:pPr>
        <w:spacing w:after="0" w:line="240" w:lineRule="auto"/>
        <w:jc w:val="center"/>
        <w:rPr>
          <w:rFonts w:ascii="Arial" w:hAnsi="Arial" w:cs="Arial"/>
          <w:b/>
          <w:bCs/>
          <w:sz w:val="60"/>
          <w:szCs w:val="60"/>
        </w:rPr>
      </w:pPr>
    </w:p>
    <w:p w14:paraId="2FE086C3" w14:textId="77777777" w:rsidR="006017D6" w:rsidRPr="00246BA9" w:rsidRDefault="00F70E72" w:rsidP="00683479">
      <w:pPr>
        <w:pStyle w:val="Encabezado"/>
        <w:jc w:val="center"/>
        <w:rPr>
          <w:rFonts w:ascii="Arial" w:eastAsia="Batang" w:hAnsi="Arial" w:cs="Arial"/>
          <w:b/>
          <w:bCs/>
          <w:sz w:val="60"/>
          <w:szCs w:val="60"/>
          <w:lang w:val="es-ES"/>
        </w:rPr>
      </w:pPr>
      <w:r w:rsidRPr="00246BA9">
        <w:rPr>
          <w:rFonts w:ascii="Arial" w:eastAsia="Batang" w:hAnsi="Arial" w:cs="Arial"/>
          <w:b/>
          <w:bCs/>
          <w:sz w:val="60"/>
          <w:szCs w:val="60"/>
          <w:lang w:val="es-ES"/>
        </w:rPr>
        <w:t xml:space="preserve">MANUAL </w:t>
      </w:r>
      <w:r w:rsidR="006017D6" w:rsidRPr="00246BA9">
        <w:rPr>
          <w:rFonts w:ascii="Arial" w:eastAsia="Batang" w:hAnsi="Arial" w:cs="Arial"/>
          <w:b/>
          <w:bCs/>
          <w:sz w:val="60"/>
          <w:szCs w:val="60"/>
          <w:lang w:val="es-ES"/>
        </w:rPr>
        <w:t xml:space="preserve">APLICACIÓN </w:t>
      </w:r>
    </w:p>
    <w:p w14:paraId="539EA973" w14:textId="77777777" w:rsidR="006017D6" w:rsidRPr="00246BA9" w:rsidRDefault="006017D6" w:rsidP="00683479">
      <w:pPr>
        <w:pStyle w:val="Encabezado"/>
        <w:jc w:val="center"/>
        <w:rPr>
          <w:rFonts w:ascii="Arial" w:eastAsia="Batang" w:hAnsi="Arial" w:cs="Arial"/>
          <w:b/>
          <w:bCs/>
          <w:sz w:val="60"/>
          <w:szCs w:val="60"/>
          <w:lang w:val="es-ES"/>
        </w:rPr>
      </w:pPr>
      <w:r w:rsidRPr="00246BA9">
        <w:rPr>
          <w:rFonts w:ascii="Arial" w:eastAsia="Batang" w:hAnsi="Arial" w:cs="Arial"/>
          <w:b/>
          <w:bCs/>
          <w:sz w:val="60"/>
          <w:szCs w:val="60"/>
          <w:lang w:val="es-ES"/>
        </w:rPr>
        <w:t xml:space="preserve">MODELO CAMEL PARA </w:t>
      </w:r>
    </w:p>
    <w:p w14:paraId="08D78CFA" w14:textId="77777777" w:rsidR="00962017" w:rsidRPr="00246BA9" w:rsidRDefault="006017D6" w:rsidP="00683479">
      <w:pPr>
        <w:pStyle w:val="Encabezado"/>
        <w:jc w:val="center"/>
        <w:rPr>
          <w:rFonts w:ascii="Arial" w:hAnsi="Arial" w:cs="Arial"/>
          <w:b/>
          <w:bCs/>
          <w:sz w:val="60"/>
          <w:szCs w:val="60"/>
        </w:rPr>
      </w:pPr>
      <w:r w:rsidRPr="00246BA9">
        <w:rPr>
          <w:rFonts w:ascii="Arial" w:eastAsia="Batang" w:hAnsi="Arial" w:cs="Arial"/>
          <w:b/>
          <w:bCs/>
          <w:sz w:val="60"/>
          <w:szCs w:val="60"/>
          <w:lang w:val="es-ES"/>
        </w:rPr>
        <w:t>ANÁLISIS DE RIESGO EMISOR – DEPOSITARIO Y CONTRAPARTE</w:t>
      </w:r>
    </w:p>
    <w:p w14:paraId="50481163" w14:textId="77777777" w:rsidR="00962017" w:rsidRPr="00246BA9" w:rsidRDefault="00962017" w:rsidP="00683479">
      <w:pPr>
        <w:spacing w:after="0" w:line="240" w:lineRule="auto"/>
        <w:jc w:val="center"/>
        <w:rPr>
          <w:rFonts w:ascii="Arial" w:hAnsi="Arial" w:cs="Arial"/>
          <w:b/>
          <w:bCs/>
          <w:sz w:val="60"/>
          <w:szCs w:val="60"/>
        </w:rPr>
      </w:pPr>
    </w:p>
    <w:p w14:paraId="77CFD023" w14:textId="77777777" w:rsidR="00962017" w:rsidRPr="006F6094" w:rsidRDefault="00962017" w:rsidP="00683479">
      <w:pPr>
        <w:spacing w:after="0" w:line="240" w:lineRule="auto"/>
        <w:jc w:val="center"/>
        <w:rPr>
          <w:rFonts w:ascii="Arial" w:hAnsi="Arial" w:cs="Arial"/>
          <w:b/>
          <w:bCs/>
        </w:rPr>
      </w:pPr>
    </w:p>
    <w:p w14:paraId="7A70D25C" w14:textId="77777777" w:rsidR="00962017" w:rsidRPr="006F6094" w:rsidRDefault="00962017" w:rsidP="00683479">
      <w:pPr>
        <w:spacing w:after="0" w:line="240" w:lineRule="auto"/>
        <w:jc w:val="center"/>
        <w:rPr>
          <w:rFonts w:ascii="Arial" w:hAnsi="Arial" w:cs="Arial"/>
          <w:b/>
          <w:bCs/>
        </w:rPr>
      </w:pPr>
    </w:p>
    <w:p w14:paraId="5543192B" w14:textId="77777777" w:rsidR="00962017" w:rsidRPr="006F6094" w:rsidRDefault="00962017" w:rsidP="00683479">
      <w:pPr>
        <w:spacing w:after="0" w:line="240" w:lineRule="auto"/>
        <w:jc w:val="center"/>
        <w:rPr>
          <w:rFonts w:ascii="Arial" w:hAnsi="Arial" w:cs="Arial"/>
          <w:b/>
          <w:bCs/>
        </w:rPr>
      </w:pPr>
    </w:p>
    <w:p w14:paraId="0A29694E" w14:textId="77777777" w:rsidR="00962017" w:rsidRPr="006F6094" w:rsidRDefault="00962017" w:rsidP="00683479">
      <w:pPr>
        <w:spacing w:after="0" w:line="240" w:lineRule="auto"/>
        <w:jc w:val="center"/>
        <w:rPr>
          <w:rFonts w:ascii="Arial" w:hAnsi="Arial" w:cs="Arial"/>
          <w:b/>
          <w:bCs/>
        </w:rPr>
      </w:pPr>
    </w:p>
    <w:p w14:paraId="29E40093" w14:textId="77777777" w:rsidR="00962017" w:rsidRPr="006F6094" w:rsidRDefault="00962017" w:rsidP="00683479">
      <w:pPr>
        <w:spacing w:after="0" w:line="240" w:lineRule="auto"/>
        <w:rPr>
          <w:rFonts w:ascii="Arial" w:hAnsi="Arial" w:cs="Arial"/>
        </w:rPr>
      </w:pPr>
    </w:p>
    <w:p w14:paraId="2AF6CF2F" w14:textId="77777777" w:rsidR="00962017" w:rsidRPr="006F6094" w:rsidRDefault="00962017" w:rsidP="00683479">
      <w:pPr>
        <w:spacing w:after="0" w:line="240" w:lineRule="auto"/>
        <w:rPr>
          <w:rFonts w:ascii="Arial" w:hAnsi="Arial" w:cs="Arial"/>
        </w:rPr>
      </w:pPr>
    </w:p>
    <w:p w14:paraId="5977185D" w14:textId="77777777" w:rsidR="00962017" w:rsidRPr="006F6094" w:rsidRDefault="00962017" w:rsidP="00683479">
      <w:pPr>
        <w:spacing w:after="0" w:line="240" w:lineRule="auto"/>
        <w:rPr>
          <w:rFonts w:ascii="Arial" w:hAnsi="Arial" w:cs="Arial"/>
        </w:rPr>
      </w:pPr>
    </w:p>
    <w:p w14:paraId="66313CCF" w14:textId="77777777" w:rsidR="00D00CC9" w:rsidRPr="006F6094" w:rsidRDefault="005D496B" w:rsidP="00683479">
      <w:pPr>
        <w:widowControl w:val="0"/>
        <w:adjustRightInd w:val="0"/>
        <w:snapToGrid w:val="0"/>
        <w:spacing w:after="0" w:line="240" w:lineRule="auto"/>
        <w:ind w:left="851" w:hanging="851"/>
        <w:jc w:val="both"/>
        <w:rPr>
          <w:rFonts w:ascii="Arial" w:hAnsi="Arial" w:cs="Arial"/>
          <w:b/>
        </w:rPr>
        <w:sectPr w:rsidR="00D00CC9" w:rsidRPr="006F6094" w:rsidSect="00D00CC9">
          <w:pgSz w:w="12240" w:h="15840"/>
          <w:pgMar w:top="1440" w:right="1440" w:bottom="1440" w:left="1440" w:header="708" w:footer="708" w:gutter="0"/>
          <w:cols w:space="708"/>
          <w:docGrid w:linePitch="360"/>
        </w:sectPr>
      </w:pPr>
      <w:r w:rsidRPr="006F6094">
        <w:rPr>
          <w:rFonts w:ascii="Arial" w:hAnsi="Arial" w:cs="Arial"/>
          <w:b/>
        </w:rPr>
        <w:br w:type="page"/>
      </w:r>
    </w:p>
    <w:p w14:paraId="003A90F3" w14:textId="1AE0F826" w:rsidR="005D496B" w:rsidRPr="006F6094" w:rsidRDefault="005D496B" w:rsidP="00683479">
      <w:pPr>
        <w:widowControl w:val="0"/>
        <w:adjustRightInd w:val="0"/>
        <w:snapToGrid w:val="0"/>
        <w:spacing w:after="0" w:line="240" w:lineRule="auto"/>
        <w:ind w:left="851" w:hanging="851"/>
        <w:jc w:val="both"/>
        <w:rPr>
          <w:rFonts w:ascii="Arial" w:hAnsi="Arial" w:cs="Arial"/>
        </w:rPr>
      </w:pPr>
      <w:r w:rsidRPr="006F6094">
        <w:rPr>
          <w:rFonts w:ascii="Arial" w:hAnsi="Arial" w:cs="Arial"/>
          <w:lang w:val="es-ES"/>
        </w:rPr>
        <w:lastRenderedPageBreak/>
        <w:t>Contenido</w:t>
      </w:r>
    </w:p>
    <w:p w14:paraId="6ACDA457" w14:textId="77F76F4F" w:rsidR="00C165EA" w:rsidRPr="006F6094" w:rsidRDefault="005D496B" w:rsidP="00683479">
      <w:pPr>
        <w:pStyle w:val="TDC1"/>
        <w:rPr>
          <w:rFonts w:ascii="Arial" w:eastAsiaTheme="minorEastAsia" w:hAnsi="Arial" w:cs="Arial"/>
          <w:noProof/>
          <w:sz w:val="22"/>
          <w:szCs w:val="22"/>
          <w:lang w:eastAsia="es-CO"/>
        </w:rPr>
      </w:pPr>
      <w:r w:rsidRPr="006F6094">
        <w:rPr>
          <w:rFonts w:ascii="Arial" w:hAnsi="Arial" w:cs="Arial"/>
          <w:sz w:val="22"/>
          <w:szCs w:val="22"/>
        </w:rPr>
        <w:fldChar w:fldCharType="begin"/>
      </w:r>
      <w:r w:rsidRPr="006F6094">
        <w:rPr>
          <w:rFonts w:ascii="Arial" w:hAnsi="Arial" w:cs="Arial"/>
          <w:sz w:val="22"/>
          <w:szCs w:val="22"/>
        </w:rPr>
        <w:instrText xml:space="preserve"> TOC \o "1-3" \h \z \u </w:instrText>
      </w:r>
      <w:r w:rsidRPr="006F6094">
        <w:rPr>
          <w:rFonts w:ascii="Arial" w:hAnsi="Arial" w:cs="Arial"/>
          <w:sz w:val="22"/>
          <w:szCs w:val="22"/>
        </w:rPr>
        <w:fldChar w:fldCharType="separate"/>
      </w:r>
      <w:hyperlink w:anchor="_Toc108966240" w:history="1">
        <w:r w:rsidR="00C165EA" w:rsidRPr="006F6094">
          <w:rPr>
            <w:rStyle w:val="Hipervnculo"/>
            <w:rFonts w:ascii="Arial" w:hAnsi="Arial" w:cs="Arial"/>
            <w:noProof/>
            <w:sz w:val="22"/>
            <w:szCs w:val="22"/>
          </w:rPr>
          <w:t>INTRODUCCIÓN</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_Toc108966240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5</w:t>
        </w:r>
        <w:r w:rsidR="00C165EA" w:rsidRPr="006F6094">
          <w:rPr>
            <w:rFonts w:ascii="Arial" w:hAnsi="Arial" w:cs="Arial"/>
            <w:noProof/>
            <w:webHidden/>
            <w:sz w:val="22"/>
            <w:szCs w:val="22"/>
          </w:rPr>
          <w:fldChar w:fldCharType="end"/>
        </w:r>
      </w:hyperlink>
    </w:p>
    <w:p w14:paraId="6E26927E" w14:textId="76566445" w:rsidR="00C165EA" w:rsidRPr="006F6094" w:rsidRDefault="00A66596" w:rsidP="00683479">
      <w:pPr>
        <w:pStyle w:val="TDC1"/>
        <w:rPr>
          <w:rFonts w:ascii="Arial" w:eastAsiaTheme="minorEastAsia" w:hAnsi="Arial" w:cs="Arial"/>
          <w:noProof/>
          <w:sz w:val="22"/>
          <w:szCs w:val="22"/>
          <w:lang w:eastAsia="es-CO"/>
        </w:rPr>
      </w:pPr>
      <w:hyperlink w:anchor="_Toc108966241" w:history="1">
        <w:r w:rsidR="00C165EA" w:rsidRPr="006F6094">
          <w:rPr>
            <w:rStyle w:val="Hipervnculo"/>
            <w:rFonts w:ascii="Arial" w:hAnsi="Arial" w:cs="Arial"/>
            <w:noProof/>
            <w:sz w:val="22"/>
            <w:szCs w:val="22"/>
          </w:rPr>
          <w:t>OBJETIVO GENERAL</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_Toc108966241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6</w:t>
        </w:r>
        <w:r w:rsidR="00C165EA" w:rsidRPr="006F6094">
          <w:rPr>
            <w:rFonts w:ascii="Arial" w:hAnsi="Arial" w:cs="Arial"/>
            <w:noProof/>
            <w:webHidden/>
            <w:sz w:val="22"/>
            <w:szCs w:val="22"/>
          </w:rPr>
          <w:fldChar w:fldCharType="end"/>
        </w:r>
      </w:hyperlink>
    </w:p>
    <w:p w14:paraId="58CED366" w14:textId="72C6DF70" w:rsidR="00C165EA" w:rsidRPr="006F6094" w:rsidRDefault="00A66596" w:rsidP="00683479">
      <w:pPr>
        <w:pStyle w:val="TDC1"/>
        <w:rPr>
          <w:rFonts w:ascii="Arial" w:eastAsiaTheme="minorEastAsia" w:hAnsi="Arial" w:cs="Arial"/>
          <w:noProof/>
          <w:sz w:val="22"/>
          <w:szCs w:val="22"/>
          <w:lang w:eastAsia="es-CO"/>
        </w:rPr>
      </w:pPr>
      <w:hyperlink w:anchor="_Toc108966242" w:history="1">
        <w:r w:rsidR="00C165EA" w:rsidRPr="006F6094">
          <w:rPr>
            <w:rStyle w:val="Hipervnculo"/>
            <w:rFonts w:ascii="Arial" w:hAnsi="Arial" w:cs="Arial"/>
            <w:noProof/>
            <w:sz w:val="22"/>
            <w:szCs w:val="22"/>
          </w:rPr>
          <w:t>OBJETIVO ESPECÍFICOS</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_Toc108966242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6</w:t>
        </w:r>
        <w:r w:rsidR="00C165EA" w:rsidRPr="006F6094">
          <w:rPr>
            <w:rFonts w:ascii="Arial" w:hAnsi="Arial" w:cs="Arial"/>
            <w:noProof/>
            <w:webHidden/>
            <w:sz w:val="22"/>
            <w:szCs w:val="22"/>
          </w:rPr>
          <w:fldChar w:fldCharType="end"/>
        </w:r>
      </w:hyperlink>
    </w:p>
    <w:p w14:paraId="1190D1FD" w14:textId="3A97F3DF" w:rsidR="00C165EA" w:rsidRPr="006F6094" w:rsidRDefault="00A66596" w:rsidP="00683479">
      <w:pPr>
        <w:pStyle w:val="TDC1"/>
        <w:rPr>
          <w:rFonts w:ascii="Arial" w:eastAsiaTheme="minorEastAsia" w:hAnsi="Arial" w:cs="Arial"/>
          <w:noProof/>
          <w:sz w:val="22"/>
          <w:szCs w:val="22"/>
          <w:lang w:eastAsia="es-CO"/>
        </w:rPr>
      </w:pPr>
      <w:hyperlink w:anchor="_Toc108966243" w:history="1">
        <w:r w:rsidR="00C165EA" w:rsidRPr="006F6094">
          <w:rPr>
            <w:rStyle w:val="Hipervnculo"/>
            <w:rFonts w:ascii="Arial" w:hAnsi="Arial" w:cs="Arial"/>
            <w:noProof/>
            <w:sz w:val="22"/>
            <w:szCs w:val="22"/>
          </w:rPr>
          <w:t>GLOSARIO</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_Toc108966243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7</w:t>
        </w:r>
        <w:r w:rsidR="00C165EA" w:rsidRPr="006F6094">
          <w:rPr>
            <w:rFonts w:ascii="Arial" w:hAnsi="Arial" w:cs="Arial"/>
            <w:noProof/>
            <w:webHidden/>
            <w:sz w:val="22"/>
            <w:szCs w:val="22"/>
          </w:rPr>
          <w:fldChar w:fldCharType="end"/>
        </w:r>
      </w:hyperlink>
    </w:p>
    <w:p w14:paraId="7BD499E5" w14:textId="1A852DD8" w:rsidR="00C165EA" w:rsidRPr="006F6094" w:rsidRDefault="00A66596" w:rsidP="00683479">
      <w:pPr>
        <w:pStyle w:val="TDC1"/>
        <w:rPr>
          <w:rFonts w:ascii="Arial" w:eastAsiaTheme="minorEastAsia" w:hAnsi="Arial" w:cs="Arial"/>
          <w:noProof/>
          <w:sz w:val="22"/>
          <w:szCs w:val="22"/>
          <w:lang w:eastAsia="es-CO"/>
        </w:rPr>
      </w:pPr>
      <w:hyperlink w:anchor="_Toc108966244" w:history="1">
        <w:r w:rsidR="00C165EA" w:rsidRPr="006F6094">
          <w:rPr>
            <w:rStyle w:val="Hipervnculo"/>
            <w:rFonts w:ascii="Arial" w:hAnsi="Arial" w:cs="Arial"/>
            <w:noProof/>
            <w:sz w:val="22"/>
            <w:szCs w:val="22"/>
          </w:rPr>
          <w:t>MODELO CAMEL</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_Toc108966244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8</w:t>
        </w:r>
        <w:r w:rsidR="00C165EA" w:rsidRPr="006F6094">
          <w:rPr>
            <w:rFonts w:ascii="Arial" w:hAnsi="Arial" w:cs="Arial"/>
            <w:noProof/>
            <w:webHidden/>
            <w:sz w:val="22"/>
            <w:szCs w:val="22"/>
          </w:rPr>
          <w:fldChar w:fldCharType="end"/>
        </w:r>
      </w:hyperlink>
    </w:p>
    <w:p w14:paraId="2620CEDE" w14:textId="78506906" w:rsidR="00C165EA" w:rsidRPr="006F6094" w:rsidRDefault="00A66596" w:rsidP="00683479">
      <w:pPr>
        <w:pStyle w:val="TDC2"/>
        <w:tabs>
          <w:tab w:val="right" w:leader="dot" w:pos="9350"/>
        </w:tabs>
        <w:spacing w:before="0" w:line="240" w:lineRule="auto"/>
        <w:rPr>
          <w:rFonts w:ascii="Arial" w:eastAsiaTheme="minorEastAsia" w:hAnsi="Arial" w:cs="Arial"/>
          <w:b w:val="0"/>
          <w:bCs w:val="0"/>
          <w:noProof/>
          <w:sz w:val="22"/>
          <w:szCs w:val="22"/>
          <w:lang w:eastAsia="es-CO"/>
        </w:rPr>
      </w:pPr>
      <w:hyperlink w:anchor="_Toc108966245" w:history="1">
        <w:r w:rsidR="00C165EA" w:rsidRPr="006F6094">
          <w:rPr>
            <w:rStyle w:val="Hipervnculo"/>
            <w:rFonts w:ascii="Arial" w:hAnsi="Arial" w:cs="Arial"/>
            <w:noProof/>
            <w:sz w:val="22"/>
            <w:szCs w:val="22"/>
          </w:rPr>
          <w:t>GENERALIDADES MODELO CAMEL</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_Toc108966245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8</w:t>
        </w:r>
        <w:r w:rsidR="00C165EA" w:rsidRPr="006F6094">
          <w:rPr>
            <w:rFonts w:ascii="Arial" w:hAnsi="Arial" w:cs="Arial"/>
            <w:noProof/>
            <w:webHidden/>
            <w:sz w:val="22"/>
            <w:szCs w:val="22"/>
          </w:rPr>
          <w:fldChar w:fldCharType="end"/>
        </w:r>
      </w:hyperlink>
    </w:p>
    <w:p w14:paraId="53ACEB0C" w14:textId="31F4FA6F" w:rsidR="00C165EA" w:rsidRPr="006F6094" w:rsidRDefault="00A66596" w:rsidP="00683479">
      <w:pPr>
        <w:pStyle w:val="TDC2"/>
        <w:tabs>
          <w:tab w:val="right" w:leader="dot" w:pos="9350"/>
        </w:tabs>
        <w:spacing w:before="0" w:line="240" w:lineRule="auto"/>
        <w:rPr>
          <w:rFonts w:ascii="Arial" w:eastAsiaTheme="minorEastAsia" w:hAnsi="Arial" w:cs="Arial"/>
          <w:b w:val="0"/>
          <w:bCs w:val="0"/>
          <w:noProof/>
          <w:sz w:val="22"/>
          <w:szCs w:val="22"/>
          <w:lang w:eastAsia="es-CO"/>
        </w:rPr>
      </w:pPr>
      <w:hyperlink w:anchor="_Toc108966246" w:history="1">
        <w:r w:rsidR="00C165EA" w:rsidRPr="006F6094">
          <w:rPr>
            <w:rStyle w:val="Hipervnculo"/>
            <w:rFonts w:ascii="Arial" w:hAnsi="Arial" w:cs="Arial"/>
            <w:noProof/>
            <w:sz w:val="22"/>
            <w:szCs w:val="22"/>
          </w:rPr>
          <w:t>DESCRIPCIÓN TÉCNICA MODELO CAMEL</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_Toc108966246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9</w:t>
        </w:r>
        <w:r w:rsidR="00C165EA" w:rsidRPr="006F6094">
          <w:rPr>
            <w:rFonts w:ascii="Arial" w:hAnsi="Arial" w:cs="Arial"/>
            <w:noProof/>
            <w:webHidden/>
            <w:sz w:val="22"/>
            <w:szCs w:val="22"/>
          </w:rPr>
          <w:fldChar w:fldCharType="end"/>
        </w:r>
      </w:hyperlink>
    </w:p>
    <w:p w14:paraId="2BC20161" w14:textId="33FEA74C" w:rsidR="00C165EA" w:rsidRPr="006F6094" w:rsidRDefault="00A66596" w:rsidP="00683479">
      <w:pPr>
        <w:pStyle w:val="TDC3"/>
        <w:tabs>
          <w:tab w:val="right" w:leader="dot" w:pos="9350"/>
        </w:tabs>
        <w:spacing w:line="240" w:lineRule="auto"/>
        <w:rPr>
          <w:rFonts w:ascii="Arial" w:eastAsiaTheme="minorEastAsia" w:hAnsi="Arial" w:cs="Arial"/>
          <w:noProof/>
          <w:sz w:val="22"/>
          <w:szCs w:val="22"/>
          <w:lang w:eastAsia="es-CO"/>
        </w:rPr>
      </w:pPr>
      <w:hyperlink w:anchor="_Toc108966247" w:history="1">
        <w:r w:rsidR="00C165EA" w:rsidRPr="006F6094">
          <w:rPr>
            <w:rStyle w:val="Hipervnculo"/>
            <w:rFonts w:ascii="Arial" w:hAnsi="Arial" w:cs="Arial"/>
            <w:noProof/>
            <w:sz w:val="22"/>
            <w:szCs w:val="22"/>
            <w:shd w:val="clear" w:color="auto" w:fill="FFFFFF"/>
          </w:rPr>
          <w:t>CONSOLIDAR INFORMACIÓN FINANCIERA DE ENTIDADES A ANALIZAR</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_Toc108966247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9</w:t>
        </w:r>
        <w:r w:rsidR="00C165EA" w:rsidRPr="006F6094">
          <w:rPr>
            <w:rFonts w:ascii="Arial" w:hAnsi="Arial" w:cs="Arial"/>
            <w:noProof/>
            <w:webHidden/>
            <w:sz w:val="22"/>
            <w:szCs w:val="22"/>
          </w:rPr>
          <w:fldChar w:fldCharType="end"/>
        </w:r>
      </w:hyperlink>
    </w:p>
    <w:p w14:paraId="4CBBADCB" w14:textId="547A750B" w:rsidR="00C165EA" w:rsidRPr="006F6094" w:rsidRDefault="00A66596" w:rsidP="00683479">
      <w:pPr>
        <w:pStyle w:val="TDC3"/>
        <w:tabs>
          <w:tab w:val="right" w:leader="dot" w:pos="9350"/>
        </w:tabs>
        <w:spacing w:line="240" w:lineRule="auto"/>
        <w:rPr>
          <w:rFonts w:ascii="Arial" w:eastAsiaTheme="minorEastAsia" w:hAnsi="Arial" w:cs="Arial"/>
          <w:noProof/>
          <w:sz w:val="22"/>
          <w:szCs w:val="22"/>
          <w:lang w:eastAsia="es-CO"/>
        </w:rPr>
      </w:pPr>
      <w:hyperlink w:anchor="_Toc108966248" w:history="1">
        <w:r w:rsidR="00C165EA" w:rsidRPr="006F6094">
          <w:rPr>
            <w:rStyle w:val="Hipervnculo"/>
            <w:rFonts w:ascii="Arial" w:hAnsi="Arial" w:cs="Arial"/>
            <w:noProof/>
            <w:sz w:val="22"/>
            <w:szCs w:val="22"/>
            <w:shd w:val="clear" w:color="auto" w:fill="FFFFFF"/>
          </w:rPr>
          <w:t>ALISTAMIENTO DE INDICADORES PARA CADA VARIABLE</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_Toc108966248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9</w:t>
        </w:r>
        <w:r w:rsidR="00C165EA" w:rsidRPr="006F6094">
          <w:rPr>
            <w:rFonts w:ascii="Arial" w:hAnsi="Arial" w:cs="Arial"/>
            <w:noProof/>
            <w:webHidden/>
            <w:sz w:val="22"/>
            <w:szCs w:val="22"/>
          </w:rPr>
          <w:fldChar w:fldCharType="end"/>
        </w:r>
      </w:hyperlink>
    </w:p>
    <w:p w14:paraId="5707307E" w14:textId="6F70BB52" w:rsidR="00C165EA" w:rsidRPr="006F6094" w:rsidRDefault="00A66596" w:rsidP="00683479">
      <w:pPr>
        <w:pStyle w:val="TDC3"/>
        <w:tabs>
          <w:tab w:val="right" w:leader="dot" w:pos="9350"/>
        </w:tabs>
        <w:spacing w:line="240" w:lineRule="auto"/>
        <w:rPr>
          <w:rFonts w:ascii="Arial" w:eastAsiaTheme="minorEastAsia" w:hAnsi="Arial" w:cs="Arial"/>
          <w:noProof/>
          <w:sz w:val="22"/>
          <w:szCs w:val="22"/>
          <w:lang w:eastAsia="es-CO"/>
        </w:rPr>
      </w:pPr>
      <w:hyperlink w:anchor="_Toc108966249" w:history="1">
        <w:r w:rsidR="00C165EA" w:rsidRPr="006F6094">
          <w:rPr>
            <w:rStyle w:val="Hipervnculo"/>
            <w:rFonts w:ascii="Arial" w:hAnsi="Arial" w:cs="Arial"/>
            <w:noProof/>
            <w:sz w:val="22"/>
            <w:szCs w:val="22"/>
            <w:shd w:val="clear" w:color="auto" w:fill="FFFFFF"/>
          </w:rPr>
          <w:t>IDENTIFICAR GRADOS DE COLINEALIDAD</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_Toc108966249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9</w:t>
        </w:r>
        <w:r w:rsidR="00C165EA" w:rsidRPr="006F6094">
          <w:rPr>
            <w:rFonts w:ascii="Arial" w:hAnsi="Arial" w:cs="Arial"/>
            <w:noProof/>
            <w:webHidden/>
            <w:sz w:val="22"/>
            <w:szCs w:val="22"/>
          </w:rPr>
          <w:fldChar w:fldCharType="end"/>
        </w:r>
      </w:hyperlink>
    </w:p>
    <w:p w14:paraId="49DC3341" w14:textId="65FC0326" w:rsidR="00C165EA" w:rsidRPr="006F6094" w:rsidRDefault="00A66596" w:rsidP="00683479">
      <w:pPr>
        <w:pStyle w:val="TDC3"/>
        <w:tabs>
          <w:tab w:val="right" w:leader="dot" w:pos="9350"/>
        </w:tabs>
        <w:spacing w:line="240" w:lineRule="auto"/>
        <w:rPr>
          <w:rFonts w:ascii="Arial" w:eastAsiaTheme="minorEastAsia" w:hAnsi="Arial" w:cs="Arial"/>
          <w:noProof/>
          <w:sz w:val="22"/>
          <w:szCs w:val="22"/>
          <w:lang w:eastAsia="es-CO"/>
        </w:rPr>
      </w:pPr>
      <w:hyperlink w:anchor="_Toc108966250" w:history="1">
        <w:r w:rsidR="00C165EA" w:rsidRPr="006F6094">
          <w:rPr>
            <w:rStyle w:val="Hipervnculo"/>
            <w:rFonts w:ascii="Arial" w:hAnsi="Arial" w:cs="Arial"/>
            <w:noProof/>
            <w:sz w:val="22"/>
            <w:szCs w:val="22"/>
            <w:lang w:val="es-ES"/>
          </w:rPr>
          <w:t>SELECCIONAR INDICADORES FINANCIEROS</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_Toc108966250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10</w:t>
        </w:r>
        <w:r w:rsidR="00C165EA" w:rsidRPr="006F6094">
          <w:rPr>
            <w:rFonts w:ascii="Arial" w:hAnsi="Arial" w:cs="Arial"/>
            <w:noProof/>
            <w:webHidden/>
            <w:sz w:val="22"/>
            <w:szCs w:val="22"/>
          </w:rPr>
          <w:fldChar w:fldCharType="end"/>
        </w:r>
      </w:hyperlink>
    </w:p>
    <w:p w14:paraId="1FA72A85" w14:textId="5817E05A" w:rsidR="00C165EA" w:rsidRPr="006F6094" w:rsidRDefault="00A66596" w:rsidP="00683479">
      <w:pPr>
        <w:pStyle w:val="TDC3"/>
        <w:tabs>
          <w:tab w:val="right" w:leader="dot" w:pos="9350"/>
        </w:tabs>
        <w:spacing w:line="240" w:lineRule="auto"/>
        <w:rPr>
          <w:rFonts w:ascii="Arial" w:eastAsiaTheme="minorEastAsia" w:hAnsi="Arial" w:cs="Arial"/>
          <w:noProof/>
          <w:sz w:val="22"/>
          <w:szCs w:val="22"/>
          <w:lang w:eastAsia="es-CO"/>
        </w:rPr>
      </w:pPr>
      <w:hyperlink w:anchor="_Toc108966251" w:history="1">
        <w:r w:rsidR="00C165EA" w:rsidRPr="006F6094">
          <w:rPr>
            <w:rStyle w:val="Hipervnculo"/>
            <w:rFonts w:ascii="Arial" w:hAnsi="Arial" w:cs="Arial"/>
            <w:noProof/>
            <w:sz w:val="22"/>
            <w:szCs w:val="22"/>
          </w:rPr>
          <w:t>DEFINICIÓN GRUPOS O PERFILES DE RIESGO DE EMISOR, DEPOSITARIO Y CONTRAPARTE</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_Toc108966251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10</w:t>
        </w:r>
        <w:r w:rsidR="00C165EA" w:rsidRPr="006F6094">
          <w:rPr>
            <w:rFonts w:ascii="Arial" w:hAnsi="Arial" w:cs="Arial"/>
            <w:noProof/>
            <w:webHidden/>
            <w:sz w:val="22"/>
            <w:szCs w:val="22"/>
          </w:rPr>
          <w:fldChar w:fldCharType="end"/>
        </w:r>
      </w:hyperlink>
    </w:p>
    <w:p w14:paraId="6B16E4FD" w14:textId="182132FC" w:rsidR="00C165EA" w:rsidRPr="006F6094" w:rsidRDefault="00A66596" w:rsidP="00683479">
      <w:pPr>
        <w:pStyle w:val="TDC3"/>
        <w:tabs>
          <w:tab w:val="right" w:leader="dot" w:pos="9350"/>
        </w:tabs>
        <w:spacing w:line="240" w:lineRule="auto"/>
        <w:rPr>
          <w:rFonts w:ascii="Arial" w:eastAsiaTheme="minorEastAsia" w:hAnsi="Arial" w:cs="Arial"/>
          <w:noProof/>
          <w:sz w:val="22"/>
          <w:szCs w:val="22"/>
          <w:lang w:eastAsia="es-CO"/>
        </w:rPr>
      </w:pPr>
      <w:hyperlink w:anchor="_Toc108966252" w:history="1">
        <w:r w:rsidR="00C165EA" w:rsidRPr="006F6094">
          <w:rPr>
            <w:rStyle w:val="Hipervnculo"/>
            <w:rFonts w:ascii="Arial" w:hAnsi="Arial" w:cs="Arial"/>
            <w:noProof/>
            <w:sz w:val="22"/>
            <w:szCs w:val="22"/>
            <w:lang w:val="es-ES"/>
          </w:rPr>
          <w:t>ESTABLECER ESCALA DE CALIFICACIÓN O SCORING</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_Toc108966252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11</w:t>
        </w:r>
        <w:r w:rsidR="00C165EA" w:rsidRPr="006F6094">
          <w:rPr>
            <w:rFonts w:ascii="Arial" w:hAnsi="Arial" w:cs="Arial"/>
            <w:noProof/>
            <w:webHidden/>
            <w:sz w:val="22"/>
            <w:szCs w:val="22"/>
          </w:rPr>
          <w:fldChar w:fldCharType="end"/>
        </w:r>
      </w:hyperlink>
    </w:p>
    <w:p w14:paraId="685BB259" w14:textId="1426A83F" w:rsidR="00C165EA" w:rsidRPr="006F6094" w:rsidRDefault="00A66596" w:rsidP="00683479">
      <w:pPr>
        <w:pStyle w:val="TDC3"/>
        <w:tabs>
          <w:tab w:val="right" w:leader="dot" w:pos="9350"/>
        </w:tabs>
        <w:spacing w:line="240" w:lineRule="auto"/>
        <w:rPr>
          <w:rFonts w:ascii="Arial" w:eastAsiaTheme="minorEastAsia" w:hAnsi="Arial" w:cs="Arial"/>
          <w:noProof/>
          <w:sz w:val="22"/>
          <w:szCs w:val="22"/>
          <w:lang w:eastAsia="es-CO"/>
        </w:rPr>
      </w:pPr>
      <w:hyperlink w:anchor="_Toc108966253" w:history="1">
        <w:r w:rsidR="00C165EA" w:rsidRPr="006F6094">
          <w:rPr>
            <w:rStyle w:val="Hipervnculo"/>
            <w:rFonts w:ascii="Arial" w:hAnsi="Arial" w:cs="Arial"/>
            <w:noProof/>
            <w:sz w:val="22"/>
            <w:szCs w:val="22"/>
            <w:lang w:val="es-ES"/>
          </w:rPr>
          <w:t>DEFINIR MODELO DE SCORING</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_Toc108966253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11</w:t>
        </w:r>
        <w:r w:rsidR="00C165EA" w:rsidRPr="006F6094">
          <w:rPr>
            <w:rFonts w:ascii="Arial" w:hAnsi="Arial" w:cs="Arial"/>
            <w:noProof/>
            <w:webHidden/>
            <w:sz w:val="22"/>
            <w:szCs w:val="22"/>
          </w:rPr>
          <w:fldChar w:fldCharType="end"/>
        </w:r>
      </w:hyperlink>
    </w:p>
    <w:p w14:paraId="20D5E4AA" w14:textId="7D9E8CF7" w:rsidR="00C165EA" w:rsidRPr="006F6094" w:rsidRDefault="00A66596" w:rsidP="00683479">
      <w:pPr>
        <w:pStyle w:val="TDC3"/>
        <w:tabs>
          <w:tab w:val="right" w:leader="dot" w:pos="9350"/>
        </w:tabs>
        <w:spacing w:line="240" w:lineRule="auto"/>
        <w:rPr>
          <w:rFonts w:ascii="Arial" w:eastAsiaTheme="minorEastAsia" w:hAnsi="Arial" w:cs="Arial"/>
          <w:noProof/>
          <w:sz w:val="22"/>
          <w:szCs w:val="22"/>
          <w:lang w:eastAsia="es-CO"/>
        </w:rPr>
      </w:pPr>
      <w:hyperlink w:anchor="_Toc108966254" w:history="1">
        <w:r w:rsidR="00C165EA" w:rsidRPr="006F6094">
          <w:rPr>
            <w:rStyle w:val="Hipervnculo"/>
            <w:rFonts w:ascii="Arial" w:hAnsi="Arial" w:cs="Arial"/>
            <w:noProof/>
            <w:sz w:val="22"/>
            <w:szCs w:val="22"/>
          </w:rPr>
          <w:t>APLICAR MODELO DE SCORING PARA CADA INDICADOR FINANCIERO SELECCIONADO</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_Toc108966254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11</w:t>
        </w:r>
        <w:r w:rsidR="00C165EA" w:rsidRPr="006F6094">
          <w:rPr>
            <w:rFonts w:ascii="Arial" w:hAnsi="Arial" w:cs="Arial"/>
            <w:noProof/>
            <w:webHidden/>
            <w:sz w:val="22"/>
            <w:szCs w:val="22"/>
          </w:rPr>
          <w:fldChar w:fldCharType="end"/>
        </w:r>
      </w:hyperlink>
    </w:p>
    <w:p w14:paraId="48B2098D" w14:textId="14AFF812" w:rsidR="00C165EA" w:rsidRPr="006F6094" w:rsidRDefault="00A66596" w:rsidP="00683479">
      <w:pPr>
        <w:pStyle w:val="TDC3"/>
        <w:tabs>
          <w:tab w:val="right" w:leader="dot" w:pos="9350"/>
        </w:tabs>
        <w:spacing w:line="240" w:lineRule="auto"/>
        <w:rPr>
          <w:rFonts w:ascii="Arial" w:eastAsiaTheme="minorEastAsia" w:hAnsi="Arial" w:cs="Arial"/>
          <w:noProof/>
          <w:sz w:val="22"/>
          <w:szCs w:val="22"/>
          <w:lang w:eastAsia="es-CO"/>
        </w:rPr>
      </w:pPr>
      <w:hyperlink w:anchor="_Toc108966255" w:history="1">
        <w:r w:rsidR="00C165EA" w:rsidRPr="006F6094">
          <w:rPr>
            <w:rStyle w:val="Hipervnculo"/>
            <w:rFonts w:ascii="Arial" w:hAnsi="Arial" w:cs="Arial"/>
            <w:noProof/>
            <w:sz w:val="22"/>
            <w:szCs w:val="22"/>
          </w:rPr>
          <w:t>APLICAR A CADA MODELO CON SU INDICADOR EL COEFICIENTE DE DETERMINACIÓN</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_Toc108966255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11</w:t>
        </w:r>
        <w:r w:rsidR="00C165EA" w:rsidRPr="006F6094">
          <w:rPr>
            <w:rFonts w:ascii="Arial" w:hAnsi="Arial" w:cs="Arial"/>
            <w:noProof/>
            <w:webHidden/>
            <w:sz w:val="22"/>
            <w:szCs w:val="22"/>
          </w:rPr>
          <w:fldChar w:fldCharType="end"/>
        </w:r>
      </w:hyperlink>
    </w:p>
    <w:p w14:paraId="71253E1C" w14:textId="38B192E2" w:rsidR="00C165EA" w:rsidRPr="006F6094" w:rsidRDefault="00A66596" w:rsidP="00683479">
      <w:pPr>
        <w:pStyle w:val="TDC3"/>
        <w:tabs>
          <w:tab w:val="right" w:leader="dot" w:pos="9350"/>
        </w:tabs>
        <w:spacing w:line="240" w:lineRule="auto"/>
        <w:rPr>
          <w:rFonts w:ascii="Arial" w:eastAsiaTheme="minorEastAsia" w:hAnsi="Arial" w:cs="Arial"/>
          <w:noProof/>
          <w:sz w:val="22"/>
          <w:szCs w:val="22"/>
          <w:lang w:eastAsia="es-CO"/>
        </w:rPr>
      </w:pPr>
      <w:hyperlink w:anchor="_Toc108966256" w:history="1">
        <w:r w:rsidR="00C165EA" w:rsidRPr="006F6094">
          <w:rPr>
            <w:rStyle w:val="Hipervnculo"/>
            <w:rFonts w:ascii="Arial" w:eastAsia="Arial" w:hAnsi="Arial" w:cs="Arial"/>
            <w:noProof/>
            <w:sz w:val="22"/>
            <w:szCs w:val="22"/>
          </w:rPr>
          <w:t>ELABORAR MATRIZ DE INDICADORES CON SU RESPECTIVA CALIFICACIÓN</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_Toc108966256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12</w:t>
        </w:r>
        <w:r w:rsidR="00C165EA" w:rsidRPr="006F6094">
          <w:rPr>
            <w:rFonts w:ascii="Arial" w:hAnsi="Arial" w:cs="Arial"/>
            <w:noProof/>
            <w:webHidden/>
            <w:sz w:val="22"/>
            <w:szCs w:val="22"/>
          </w:rPr>
          <w:fldChar w:fldCharType="end"/>
        </w:r>
      </w:hyperlink>
    </w:p>
    <w:p w14:paraId="3CCCBAD9" w14:textId="39E6F935" w:rsidR="00C165EA" w:rsidRPr="006F6094" w:rsidRDefault="00A66596" w:rsidP="00683479">
      <w:pPr>
        <w:pStyle w:val="TDC3"/>
        <w:tabs>
          <w:tab w:val="right" w:leader="dot" w:pos="9350"/>
        </w:tabs>
        <w:spacing w:line="240" w:lineRule="auto"/>
        <w:rPr>
          <w:rFonts w:ascii="Arial" w:eastAsiaTheme="minorEastAsia" w:hAnsi="Arial" w:cs="Arial"/>
          <w:noProof/>
          <w:sz w:val="22"/>
          <w:szCs w:val="22"/>
          <w:lang w:eastAsia="es-CO"/>
        </w:rPr>
      </w:pPr>
      <w:hyperlink w:anchor="_Toc108966257" w:history="1">
        <w:r w:rsidR="00C165EA" w:rsidRPr="006F6094">
          <w:rPr>
            <w:rStyle w:val="Hipervnculo"/>
            <w:rFonts w:ascii="Arial" w:eastAsia="Arial" w:hAnsi="Arial" w:cs="Arial"/>
            <w:noProof/>
            <w:sz w:val="22"/>
            <w:szCs w:val="22"/>
            <w:lang w:val="es-ES"/>
          </w:rPr>
          <w:t>ASIGNAR NIVEL O PERFIL DE RIESGO DE EMISOR, DEPOSITARIO Y CONTRAPARTE</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_Toc108966257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12</w:t>
        </w:r>
        <w:r w:rsidR="00C165EA" w:rsidRPr="006F6094">
          <w:rPr>
            <w:rFonts w:ascii="Arial" w:hAnsi="Arial" w:cs="Arial"/>
            <w:noProof/>
            <w:webHidden/>
            <w:sz w:val="22"/>
            <w:szCs w:val="22"/>
          </w:rPr>
          <w:fldChar w:fldCharType="end"/>
        </w:r>
      </w:hyperlink>
    </w:p>
    <w:p w14:paraId="1528E848" w14:textId="04AACF92" w:rsidR="00C165EA" w:rsidRPr="006F6094" w:rsidRDefault="00A66596" w:rsidP="00683479">
      <w:pPr>
        <w:pStyle w:val="TDC3"/>
        <w:tabs>
          <w:tab w:val="right" w:leader="dot" w:pos="9350"/>
        </w:tabs>
        <w:spacing w:line="240" w:lineRule="auto"/>
        <w:rPr>
          <w:rFonts w:ascii="Arial" w:eastAsiaTheme="minorEastAsia" w:hAnsi="Arial" w:cs="Arial"/>
          <w:noProof/>
          <w:sz w:val="22"/>
          <w:szCs w:val="22"/>
          <w:lang w:eastAsia="es-CO"/>
        </w:rPr>
      </w:pPr>
      <w:hyperlink w:anchor="_Toc108966258" w:history="1">
        <w:r w:rsidR="00C165EA" w:rsidRPr="006F6094">
          <w:rPr>
            <w:rStyle w:val="Hipervnculo"/>
            <w:rFonts w:ascii="Arial" w:eastAsia="Arial" w:hAnsi="Arial" w:cs="Arial"/>
            <w:noProof/>
            <w:sz w:val="22"/>
            <w:szCs w:val="22"/>
            <w:lang w:val="es-ES"/>
          </w:rPr>
          <w:t>ASIGNACIÓN DEL CUPO DE EMISOR, DEPOSITARIO Y CONTRAPARTE</w:t>
        </w:r>
        <w:r w:rsidR="00C165EA" w:rsidRPr="006F6094">
          <w:rPr>
            <w:rFonts w:ascii="Arial" w:hAnsi="Arial" w:cs="Arial"/>
            <w:noProof/>
            <w:webHidden/>
            <w:sz w:val="22"/>
            <w:szCs w:val="22"/>
          </w:rPr>
          <w:tab/>
        </w:r>
        <w:r w:rsidR="00C165EA" w:rsidRPr="006F6094">
          <w:rPr>
            <w:rFonts w:ascii="Arial" w:hAnsi="Arial" w:cs="Arial"/>
            <w:noProof/>
            <w:webHidden/>
            <w:sz w:val="22"/>
            <w:szCs w:val="22"/>
          </w:rPr>
          <w:fldChar w:fldCharType="begin"/>
        </w:r>
        <w:r w:rsidR="00C165EA" w:rsidRPr="006F6094">
          <w:rPr>
            <w:rFonts w:ascii="Arial" w:hAnsi="Arial" w:cs="Arial"/>
            <w:noProof/>
            <w:webHidden/>
            <w:sz w:val="22"/>
            <w:szCs w:val="22"/>
          </w:rPr>
          <w:instrText xml:space="preserve"> PAGEREF _Toc108966258 \h </w:instrText>
        </w:r>
        <w:r w:rsidR="00C165EA" w:rsidRPr="006F6094">
          <w:rPr>
            <w:rFonts w:ascii="Arial" w:hAnsi="Arial" w:cs="Arial"/>
            <w:noProof/>
            <w:webHidden/>
            <w:sz w:val="22"/>
            <w:szCs w:val="22"/>
          </w:rPr>
        </w:r>
        <w:r w:rsidR="00C165EA" w:rsidRPr="006F6094">
          <w:rPr>
            <w:rFonts w:ascii="Arial" w:hAnsi="Arial" w:cs="Arial"/>
            <w:noProof/>
            <w:webHidden/>
            <w:sz w:val="22"/>
            <w:szCs w:val="22"/>
          </w:rPr>
          <w:fldChar w:fldCharType="separate"/>
        </w:r>
        <w:r w:rsidR="00C165EA" w:rsidRPr="006F6094">
          <w:rPr>
            <w:rFonts w:ascii="Arial" w:hAnsi="Arial" w:cs="Arial"/>
            <w:noProof/>
            <w:webHidden/>
            <w:sz w:val="22"/>
            <w:szCs w:val="22"/>
          </w:rPr>
          <w:t>12</w:t>
        </w:r>
        <w:r w:rsidR="00C165EA" w:rsidRPr="006F6094">
          <w:rPr>
            <w:rFonts w:ascii="Arial" w:hAnsi="Arial" w:cs="Arial"/>
            <w:noProof/>
            <w:webHidden/>
            <w:sz w:val="22"/>
            <w:szCs w:val="22"/>
          </w:rPr>
          <w:fldChar w:fldCharType="end"/>
        </w:r>
      </w:hyperlink>
    </w:p>
    <w:p w14:paraId="113A9FB0" w14:textId="5D63D6A4" w:rsidR="005D496B" w:rsidRPr="006F6094" w:rsidRDefault="005D496B" w:rsidP="00683479">
      <w:pPr>
        <w:spacing w:after="0" w:line="240" w:lineRule="auto"/>
        <w:rPr>
          <w:rFonts w:ascii="Arial" w:hAnsi="Arial" w:cs="Arial"/>
        </w:rPr>
      </w:pPr>
      <w:r w:rsidRPr="006F6094">
        <w:rPr>
          <w:rFonts w:ascii="Arial" w:hAnsi="Arial" w:cs="Arial"/>
          <w:b/>
          <w:bCs/>
          <w:lang w:val="es-ES"/>
        </w:rPr>
        <w:fldChar w:fldCharType="end"/>
      </w:r>
    </w:p>
    <w:p w14:paraId="110CCABA" w14:textId="77777777" w:rsidR="005D496B" w:rsidRPr="006F6094" w:rsidRDefault="005D496B" w:rsidP="00683479">
      <w:pPr>
        <w:widowControl w:val="0"/>
        <w:adjustRightInd w:val="0"/>
        <w:snapToGrid w:val="0"/>
        <w:spacing w:after="0" w:line="240" w:lineRule="auto"/>
        <w:ind w:left="851" w:hanging="851"/>
        <w:jc w:val="both"/>
        <w:rPr>
          <w:rFonts w:ascii="Arial" w:hAnsi="Arial" w:cs="Arial"/>
          <w:b/>
        </w:rPr>
      </w:pPr>
    </w:p>
    <w:p w14:paraId="32CA065B" w14:textId="77777777" w:rsidR="00604BE2" w:rsidRPr="006F6094" w:rsidRDefault="005D496B" w:rsidP="00683479">
      <w:pPr>
        <w:widowControl w:val="0"/>
        <w:adjustRightInd w:val="0"/>
        <w:snapToGrid w:val="0"/>
        <w:spacing w:after="0" w:line="240" w:lineRule="auto"/>
        <w:ind w:left="851" w:hanging="851"/>
        <w:jc w:val="both"/>
        <w:rPr>
          <w:rFonts w:ascii="Arial" w:hAnsi="Arial" w:cs="Arial"/>
          <w:b/>
        </w:rPr>
      </w:pPr>
      <w:r w:rsidRPr="006F6094">
        <w:rPr>
          <w:rFonts w:ascii="Arial" w:hAnsi="Arial" w:cs="Arial"/>
        </w:rPr>
        <w:br w:type="page"/>
      </w:r>
    </w:p>
    <w:p w14:paraId="09F6B7A1" w14:textId="77777777" w:rsidR="00D00CC9" w:rsidRPr="006F6094" w:rsidRDefault="00D00CC9" w:rsidP="00683479">
      <w:pPr>
        <w:pStyle w:val="Ttulo1"/>
        <w:spacing w:before="0" w:line="240" w:lineRule="auto"/>
        <w:rPr>
          <w:rFonts w:cs="Arial"/>
          <w:color w:val="auto"/>
          <w:sz w:val="22"/>
          <w:szCs w:val="22"/>
        </w:rPr>
        <w:sectPr w:rsidR="00D00CC9" w:rsidRPr="006F6094" w:rsidSect="00D00CC9">
          <w:pgSz w:w="12240" w:h="15840"/>
          <w:pgMar w:top="1440" w:right="1440" w:bottom="1440" w:left="1440" w:header="708" w:footer="708" w:gutter="0"/>
          <w:cols w:space="708"/>
          <w:docGrid w:linePitch="360"/>
        </w:sectPr>
      </w:pPr>
    </w:p>
    <w:p w14:paraId="0B62A129" w14:textId="415B71C5" w:rsidR="00604BE2" w:rsidRPr="006F6094" w:rsidRDefault="00FB66E6" w:rsidP="00683479">
      <w:pPr>
        <w:pStyle w:val="Ttulo1"/>
        <w:spacing w:before="0" w:line="240" w:lineRule="auto"/>
        <w:rPr>
          <w:rFonts w:cs="Arial"/>
          <w:b/>
          <w:bCs/>
          <w:color w:val="auto"/>
          <w:sz w:val="22"/>
          <w:szCs w:val="22"/>
        </w:rPr>
      </w:pPr>
      <w:bookmarkStart w:id="4" w:name="_Toc108966240"/>
      <w:r w:rsidRPr="006F6094">
        <w:rPr>
          <w:rFonts w:cs="Arial"/>
          <w:b/>
          <w:bCs/>
          <w:color w:val="auto"/>
          <w:sz w:val="22"/>
          <w:szCs w:val="22"/>
        </w:rPr>
        <w:lastRenderedPageBreak/>
        <w:t>INTRODUCCIÓN</w:t>
      </w:r>
      <w:bookmarkEnd w:id="4"/>
    </w:p>
    <w:p w14:paraId="61CD5C0A" w14:textId="77777777" w:rsidR="00604BE2" w:rsidRPr="006F6094" w:rsidRDefault="00604BE2" w:rsidP="00683479">
      <w:pPr>
        <w:spacing w:after="0" w:line="240" w:lineRule="auto"/>
        <w:jc w:val="both"/>
        <w:rPr>
          <w:rFonts w:ascii="Arial" w:hAnsi="Arial" w:cs="Arial"/>
        </w:rPr>
      </w:pPr>
    </w:p>
    <w:p w14:paraId="0EBFCF76" w14:textId="53F835A8" w:rsidR="00FB66E6" w:rsidRPr="006F6094" w:rsidRDefault="00AD11CD" w:rsidP="00683479">
      <w:pPr>
        <w:spacing w:after="0" w:line="240" w:lineRule="auto"/>
        <w:jc w:val="both"/>
        <w:rPr>
          <w:rFonts w:ascii="Arial" w:hAnsi="Arial" w:cs="Arial"/>
        </w:rPr>
      </w:pPr>
      <w:r w:rsidRPr="006F6094">
        <w:rPr>
          <w:rFonts w:ascii="Arial" w:hAnsi="Arial" w:cs="Arial"/>
        </w:rPr>
        <w:t xml:space="preserve">El sistema de administración de riesgo de mercado, es un sistema estrechamente enlazado con el logro de los objetivos estratégicos de cualquier organización y que en el desarrollo de las operaciones de </w:t>
      </w:r>
      <w:r w:rsidR="00FB66E6" w:rsidRPr="006F6094">
        <w:rPr>
          <w:rFonts w:ascii="Arial" w:hAnsi="Arial" w:cs="Arial"/>
          <w:b/>
          <w:bCs/>
        </w:rPr>
        <w:t>COOPEAIPE</w:t>
      </w:r>
      <w:r w:rsidRPr="006F6094">
        <w:rPr>
          <w:rFonts w:ascii="Arial" w:hAnsi="Arial" w:cs="Arial"/>
        </w:rPr>
        <w:t xml:space="preserve"> se expone principalmente en lo que refiere a la administración de sus portafolios de inversión, sujetos a cambios tanto a nivel interno como externo y que deben ser situaciones gestionadas bajo la premisa de la protección de los recursos de los asociados garantizando la estabilidad y viabilidad financiera </w:t>
      </w:r>
      <w:r w:rsidR="00FB66E6" w:rsidRPr="006F6094">
        <w:rPr>
          <w:rFonts w:ascii="Arial" w:hAnsi="Arial" w:cs="Arial"/>
        </w:rPr>
        <w:t>de la Cooperativa</w:t>
      </w:r>
      <w:r w:rsidRPr="006F6094">
        <w:rPr>
          <w:rFonts w:ascii="Arial" w:hAnsi="Arial" w:cs="Arial"/>
        </w:rPr>
        <w:t>.</w:t>
      </w:r>
    </w:p>
    <w:p w14:paraId="742F44B8" w14:textId="77777777" w:rsidR="00C165EA" w:rsidRPr="006F6094" w:rsidRDefault="00C165EA" w:rsidP="00683479">
      <w:pPr>
        <w:spacing w:after="0" w:line="240" w:lineRule="auto"/>
        <w:jc w:val="both"/>
        <w:rPr>
          <w:rFonts w:ascii="Arial" w:hAnsi="Arial" w:cs="Arial"/>
        </w:rPr>
      </w:pPr>
    </w:p>
    <w:p w14:paraId="1E50C3AD" w14:textId="546C4D1D" w:rsidR="00AD11CD" w:rsidRPr="006F6094" w:rsidRDefault="00AD11CD" w:rsidP="00683479">
      <w:pPr>
        <w:spacing w:after="0" w:line="240" w:lineRule="auto"/>
        <w:jc w:val="both"/>
        <w:rPr>
          <w:rFonts w:ascii="Arial" w:hAnsi="Arial" w:cs="Arial"/>
        </w:rPr>
      </w:pPr>
      <w:r w:rsidRPr="006F6094">
        <w:rPr>
          <w:rFonts w:ascii="Arial" w:hAnsi="Arial" w:cs="Arial"/>
        </w:rPr>
        <w:t>El sistema de administración de riesgo de mercado deberá estar alineado como parte del Sistema Integral de Administración de Riesgos SIAR propuesto por la Superintendencia de Economía Solidaria, buscando la adopción de decisiones oportunas para la adecuada mitigación del riesgo de mercado y consolidando una cultura de riesgo que priorice, comprenda y mejore continuamente la gestión de riesgos.</w:t>
      </w:r>
    </w:p>
    <w:p w14:paraId="59D73E8E" w14:textId="77777777" w:rsidR="00C165EA" w:rsidRPr="006F6094" w:rsidRDefault="00C165EA" w:rsidP="00683479">
      <w:pPr>
        <w:spacing w:after="0" w:line="240" w:lineRule="auto"/>
        <w:jc w:val="both"/>
        <w:rPr>
          <w:rFonts w:ascii="Arial" w:hAnsi="Arial" w:cs="Arial"/>
        </w:rPr>
      </w:pPr>
    </w:p>
    <w:p w14:paraId="1B6F87BC" w14:textId="1884B7C6" w:rsidR="00087381" w:rsidRPr="006F6094" w:rsidRDefault="00AD11CD" w:rsidP="00683479">
      <w:pPr>
        <w:spacing w:after="0" w:line="240" w:lineRule="auto"/>
        <w:jc w:val="both"/>
        <w:rPr>
          <w:rFonts w:ascii="Arial" w:hAnsi="Arial" w:cs="Arial"/>
        </w:rPr>
      </w:pPr>
      <w:r w:rsidRPr="006F6094">
        <w:rPr>
          <w:rFonts w:ascii="Arial" w:hAnsi="Arial" w:cs="Arial"/>
        </w:rPr>
        <w:t xml:space="preserve">En este manual se incorpora los lineamientos </w:t>
      </w:r>
      <w:r w:rsidR="00811534" w:rsidRPr="006F6094">
        <w:rPr>
          <w:rFonts w:ascii="Arial" w:hAnsi="Arial" w:cs="Arial"/>
        </w:rPr>
        <w:t xml:space="preserve">para la aplicación de la metodología CAMEL que permite evaluar a las diferentes entidades financieras con las cuales se realiza operaciones de tesorería e inversiones, y de esta forma establecer cupos por emisor, depositario y contraparte para los establecimientos de crédito de forma que la Entidad pueda tener mediciones de riesgo respecto del desempeño de las entidades o contrapartes, desarrollando así un seguimiento adecuado para la identificación de alertas tempranas en la relación con contrapartes, a fin de proteger los recursos de </w:t>
      </w:r>
      <w:r w:rsidR="00FB66E6" w:rsidRPr="006F6094">
        <w:rPr>
          <w:rFonts w:ascii="Arial" w:hAnsi="Arial" w:cs="Arial"/>
          <w:b/>
          <w:bCs/>
        </w:rPr>
        <w:t>COOPEAIPE</w:t>
      </w:r>
      <w:r w:rsidR="00811534" w:rsidRPr="006F6094">
        <w:rPr>
          <w:rFonts w:ascii="Arial" w:hAnsi="Arial" w:cs="Arial"/>
        </w:rPr>
        <w:t xml:space="preserve">. </w:t>
      </w:r>
    </w:p>
    <w:p w14:paraId="20B70081" w14:textId="77777777" w:rsidR="004629CA" w:rsidRPr="006F6094" w:rsidRDefault="004629CA" w:rsidP="00683479">
      <w:pPr>
        <w:spacing w:after="0" w:line="240" w:lineRule="auto"/>
        <w:jc w:val="both"/>
        <w:rPr>
          <w:rFonts w:ascii="Arial" w:hAnsi="Arial" w:cs="Arial"/>
        </w:rPr>
      </w:pPr>
    </w:p>
    <w:p w14:paraId="279B1A19" w14:textId="77777777" w:rsidR="004629CA" w:rsidRPr="006F6094" w:rsidRDefault="004629CA" w:rsidP="00683479">
      <w:pPr>
        <w:spacing w:after="0" w:line="240" w:lineRule="auto"/>
        <w:jc w:val="both"/>
        <w:rPr>
          <w:rFonts w:ascii="Arial" w:hAnsi="Arial" w:cs="Arial"/>
        </w:rPr>
      </w:pPr>
    </w:p>
    <w:p w14:paraId="58EF5A94" w14:textId="77777777" w:rsidR="00D00CC9" w:rsidRPr="006F6094" w:rsidRDefault="00F3766A" w:rsidP="00683479">
      <w:pPr>
        <w:pStyle w:val="Ttulo1"/>
        <w:spacing w:before="0" w:line="240" w:lineRule="auto"/>
        <w:rPr>
          <w:rFonts w:cs="Arial"/>
          <w:color w:val="auto"/>
          <w:sz w:val="22"/>
          <w:szCs w:val="22"/>
        </w:rPr>
        <w:sectPr w:rsidR="00D00CC9" w:rsidRPr="006F6094" w:rsidSect="00D00CC9">
          <w:pgSz w:w="12240" w:h="15840"/>
          <w:pgMar w:top="1440" w:right="1440" w:bottom="1440" w:left="1440" w:header="708" w:footer="708" w:gutter="0"/>
          <w:cols w:space="708"/>
          <w:docGrid w:linePitch="360"/>
        </w:sectPr>
      </w:pPr>
      <w:r w:rsidRPr="006F6094">
        <w:rPr>
          <w:rFonts w:cs="Arial"/>
          <w:color w:val="auto"/>
          <w:sz w:val="22"/>
          <w:szCs w:val="22"/>
        </w:rPr>
        <w:br w:type="page"/>
      </w:r>
    </w:p>
    <w:p w14:paraId="044504A2" w14:textId="77777777" w:rsidR="00F3766A" w:rsidRPr="006F6094" w:rsidRDefault="00F3766A" w:rsidP="00683479">
      <w:pPr>
        <w:pStyle w:val="Ttulo1"/>
        <w:spacing w:before="0" w:line="240" w:lineRule="auto"/>
        <w:rPr>
          <w:rFonts w:cs="Arial"/>
          <w:b/>
          <w:bCs/>
          <w:color w:val="auto"/>
          <w:sz w:val="22"/>
          <w:szCs w:val="22"/>
        </w:rPr>
      </w:pPr>
      <w:bookmarkStart w:id="5" w:name="_Toc108966241"/>
      <w:r w:rsidRPr="006F6094">
        <w:rPr>
          <w:rFonts w:cs="Arial"/>
          <w:b/>
          <w:bCs/>
          <w:color w:val="auto"/>
          <w:sz w:val="22"/>
          <w:szCs w:val="22"/>
        </w:rPr>
        <w:lastRenderedPageBreak/>
        <w:t>OBJETIVO GENERAL</w:t>
      </w:r>
      <w:bookmarkEnd w:id="5"/>
      <w:r w:rsidRPr="006F6094">
        <w:rPr>
          <w:rFonts w:cs="Arial"/>
          <w:b/>
          <w:bCs/>
          <w:color w:val="auto"/>
          <w:sz w:val="22"/>
          <w:szCs w:val="22"/>
        </w:rPr>
        <w:t xml:space="preserve"> </w:t>
      </w:r>
    </w:p>
    <w:p w14:paraId="66CF5C44" w14:textId="77777777" w:rsidR="005B4896" w:rsidRPr="006F6094" w:rsidRDefault="005B4896" w:rsidP="00683479">
      <w:pPr>
        <w:spacing w:after="0" w:line="240" w:lineRule="auto"/>
        <w:jc w:val="both"/>
        <w:rPr>
          <w:rFonts w:ascii="Arial" w:hAnsi="Arial" w:cs="Arial"/>
        </w:rPr>
      </w:pPr>
    </w:p>
    <w:p w14:paraId="3C139D5B" w14:textId="77777777" w:rsidR="00811534" w:rsidRPr="006F6094" w:rsidRDefault="005B4896" w:rsidP="00683479">
      <w:pPr>
        <w:spacing w:after="0" w:line="240" w:lineRule="auto"/>
        <w:jc w:val="both"/>
        <w:rPr>
          <w:rFonts w:ascii="Arial" w:hAnsi="Arial" w:cs="Arial"/>
        </w:rPr>
      </w:pPr>
      <w:r w:rsidRPr="006F6094">
        <w:rPr>
          <w:rFonts w:ascii="Arial" w:hAnsi="Arial" w:cs="Arial"/>
        </w:rPr>
        <w:t xml:space="preserve">Establecer y difundir la </w:t>
      </w:r>
      <w:r w:rsidR="00811534" w:rsidRPr="006F6094">
        <w:rPr>
          <w:rFonts w:ascii="Arial" w:hAnsi="Arial" w:cs="Arial"/>
        </w:rPr>
        <w:t>aplicación del modelo CAMEL para el cálculo de cupos emisor, deposi</w:t>
      </w:r>
      <w:r w:rsidR="00B21ECE" w:rsidRPr="006F6094">
        <w:rPr>
          <w:rFonts w:ascii="Arial" w:hAnsi="Arial" w:cs="Arial"/>
        </w:rPr>
        <w:t xml:space="preserve">tario y contraparte. </w:t>
      </w:r>
    </w:p>
    <w:p w14:paraId="5788812D" w14:textId="77777777" w:rsidR="00811534" w:rsidRPr="006F6094" w:rsidRDefault="00811534" w:rsidP="00683479">
      <w:pPr>
        <w:spacing w:after="0" w:line="240" w:lineRule="auto"/>
        <w:jc w:val="both"/>
        <w:rPr>
          <w:rFonts w:ascii="Arial" w:hAnsi="Arial" w:cs="Arial"/>
          <w:lang w:val="es-ES_tradnl"/>
        </w:rPr>
      </w:pPr>
    </w:p>
    <w:p w14:paraId="2AD08260" w14:textId="61D9733B" w:rsidR="007055AC" w:rsidRPr="006F6094" w:rsidRDefault="007055AC" w:rsidP="00683479">
      <w:pPr>
        <w:pStyle w:val="Ttulo1"/>
        <w:spacing w:before="0" w:line="240" w:lineRule="auto"/>
        <w:rPr>
          <w:rFonts w:cs="Arial"/>
          <w:b/>
          <w:bCs/>
          <w:color w:val="auto"/>
          <w:sz w:val="22"/>
          <w:szCs w:val="22"/>
        </w:rPr>
      </w:pPr>
      <w:bookmarkStart w:id="6" w:name="_Toc108966242"/>
      <w:r w:rsidRPr="006F6094">
        <w:rPr>
          <w:rFonts w:cs="Arial"/>
          <w:b/>
          <w:bCs/>
          <w:color w:val="auto"/>
          <w:sz w:val="22"/>
          <w:szCs w:val="22"/>
        </w:rPr>
        <w:t xml:space="preserve">OBJETIVO </w:t>
      </w:r>
      <w:r w:rsidR="00FB66E6" w:rsidRPr="006F6094">
        <w:rPr>
          <w:rFonts w:cs="Arial"/>
          <w:b/>
          <w:bCs/>
          <w:color w:val="auto"/>
          <w:sz w:val="22"/>
          <w:szCs w:val="22"/>
        </w:rPr>
        <w:t>ESPECÍFICOS</w:t>
      </w:r>
      <w:bookmarkEnd w:id="6"/>
    </w:p>
    <w:p w14:paraId="1C266D5A" w14:textId="77777777" w:rsidR="007055AC" w:rsidRPr="006F6094" w:rsidRDefault="007055AC" w:rsidP="00683479">
      <w:pPr>
        <w:spacing w:after="0" w:line="240" w:lineRule="auto"/>
        <w:rPr>
          <w:rFonts w:ascii="Arial" w:hAnsi="Arial" w:cs="Arial"/>
        </w:rPr>
      </w:pPr>
    </w:p>
    <w:p w14:paraId="093DCC52" w14:textId="02DD51B8" w:rsidR="00B21ECE" w:rsidRPr="006F6094" w:rsidRDefault="005B4896" w:rsidP="00683479">
      <w:pPr>
        <w:numPr>
          <w:ilvl w:val="0"/>
          <w:numId w:val="1"/>
        </w:numPr>
        <w:spacing w:after="0" w:line="240" w:lineRule="auto"/>
        <w:ind w:left="426"/>
        <w:jc w:val="both"/>
        <w:rPr>
          <w:rFonts w:ascii="Arial" w:hAnsi="Arial" w:cs="Arial"/>
        </w:rPr>
      </w:pPr>
      <w:r w:rsidRPr="006F6094">
        <w:rPr>
          <w:rFonts w:ascii="Arial" w:hAnsi="Arial" w:cs="Arial"/>
        </w:rPr>
        <w:t xml:space="preserve">Explicar el cálculo del </w:t>
      </w:r>
      <w:r w:rsidR="00B21ECE" w:rsidRPr="006F6094">
        <w:rPr>
          <w:rFonts w:ascii="Arial" w:hAnsi="Arial" w:cs="Arial"/>
        </w:rPr>
        <w:t xml:space="preserve">modelo CAMEL para la identificación, medición y gestión de riesgos de emisor, depositario y contraparte, fijando límites con el fin de apoyar la toma de decisiones de inversión en </w:t>
      </w:r>
      <w:r w:rsidR="00FB66E6" w:rsidRPr="006F6094">
        <w:rPr>
          <w:rFonts w:ascii="Arial" w:hAnsi="Arial" w:cs="Arial"/>
        </w:rPr>
        <w:t>la Cooperativa</w:t>
      </w:r>
      <w:r w:rsidR="00B21ECE" w:rsidRPr="006F6094">
        <w:rPr>
          <w:rFonts w:ascii="Arial" w:hAnsi="Arial" w:cs="Arial"/>
        </w:rPr>
        <w:t xml:space="preserve">. </w:t>
      </w:r>
    </w:p>
    <w:p w14:paraId="7172B75B" w14:textId="1809489C" w:rsidR="00D00CC9" w:rsidRPr="00246BA9" w:rsidRDefault="00B21ECE" w:rsidP="00683479">
      <w:pPr>
        <w:numPr>
          <w:ilvl w:val="0"/>
          <w:numId w:val="1"/>
        </w:numPr>
        <w:spacing w:after="0" w:line="240" w:lineRule="auto"/>
        <w:ind w:left="426"/>
        <w:jc w:val="both"/>
        <w:rPr>
          <w:rFonts w:ascii="Arial" w:hAnsi="Arial" w:cs="Arial"/>
        </w:rPr>
        <w:sectPr w:rsidR="00D00CC9" w:rsidRPr="00246BA9" w:rsidSect="00D00CC9">
          <w:pgSz w:w="12240" w:h="15840"/>
          <w:pgMar w:top="1440" w:right="1440" w:bottom="1440" w:left="1440" w:header="708" w:footer="708" w:gutter="0"/>
          <w:cols w:space="708"/>
          <w:docGrid w:linePitch="360"/>
        </w:sectPr>
      </w:pPr>
      <w:r w:rsidRPr="006F6094">
        <w:rPr>
          <w:rFonts w:ascii="Arial" w:hAnsi="Arial" w:cs="Arial"/>
        </w:rPr>
        <w:t xml:space="preserve">Definir una metodología de reconocido valor técnico como complemento dentro del Sistema de Administración de Riesgo de Mercado. </w:t>
      </w:r>
    </w:p>
    <w:p w14:paraId="65F7484E" w14:textId="77777777" w:rsidR="00954B0E" w:rsidRPr="006F6094" w:rsidRDefault="00F32847" w:rsidP="00683479">
      <w:pPr>
        <w:pStyle w:val="Ttulo1"/>
        <w:spacing w:before="0" w:line="240" w:lineRule="auto"/>
        <w:jc w:val="both"/>
        <w:rPr>
          <w:rFonts w:cs="Arial"/>
          <w:b/>
          <w:bCs/>
          <w:color w:val="auto"/>
          <w:sz w:val="22"/>
          <w:szCs w:val="22"/>
        </w:rPr>
      </w:pPr>
      <w:bookmarkStart w:id="7" w:name="_Toc108966244"/>
      <w:r w:rsidRPr="006F6094">
        <w:rPr>
          <w:rFonts w:cs="Arial"/>
          <w:b/>
          <w:bCs/>
          <w:color w:val="auto"/>
          <w:sz w:val="22"/>
          <w:szCs w:val="22"/>
        </w:rPr>
        <w:lastRenderedPageBreak/>
        <w:t>MODELO CAMEL</w:t>
      </w:r>
      <w:bookmarkEnd w:id="7"/>
    </w:p>
    <w:p w14:paraId="5F8A5C25" w14:textId="3AC9ACCF" w:rsidR="000A4F9C" w:rsidRPr="006F6094" w:rsidRDefault="00F32847" w:rsidP="00683479">
      <w:pPr>
        <w:spacing w:after="0" w:line="240" w:lineRule="auto"/>
        <w:rPr>
          <w:rFonts w:ascii="Arial" w:hAnsi="Arial" w:cs="Arial"/>
        </w:rPr>
      </w:pPr>
      <w:r w:rsidRPr="006F6094">
        <w:rPr>
          <w:rFonts w:ascii="Arial" w:hAnsi="Arial" w:cs="Arial"/>
        </w:rPr>
        <w:t xml:space="preserve"> </w:t>
      </w:r>
    </w:p>
    <w:p w14:paraId="59FDD879" w14:textId="77777777" w:rsidR="000A4F9C" w:rsidRPr="006F6094" w:rsidRDefault="00F32847" w:rsidP="00683479">
      <w:pPr>
        <w:pStyle w:val="Ttulo2"/>
        <w:spacing w:before="0" w:after="0" w:line="240" w:lineRule="auto"/>
        <w:jc w:val="both"/>
        <w:rPr>
          <w:rFonts w:ascii="Arial" w:hAnsi="Arial" w:cs="Arial"/>
          <w:i w:val="0"/>
          <w:sz w:val="22"/>
          <w:szCs w:val="22"/>
        </w:rPr>
      </w:pPr>
      <w:bookmarkStart w:id="8" w:name="_Toc108966245"/>
      <w:r w:rsidRPr="006F6094">
        <w:rPr>
          <w:rFonts w:ascii="Arial" w:hAnsi="Arial" w:cs="Arial"/>
          <w:i w:val="0"/>
          <w:sz w:val="22"/>
          <w:szCs w:val="22"/>
        </w:rPr>
        <w:t>GENERALIDADES MODELO CAMEL</w:t>
      </w:r>
      <w:bookmarkEnd w:id="8"/>
    </w:p>
    <w:p w14:paraId="7A667C69" w14:textId="77777777" w:rsidR="000A4F9C" w:rsidRPr="006F6094" w:rsidRDefault="000A4F9C" w:rsidP="00683479">
      <w:pPr>
        <w:spacing w:after="0" w:line="240" w:lineRule="auto"/>
        <w:rPr>
          <w:rFonts w:ascii="Arial" w:hAnsi="Arial" w:cs="Arial"/>
        </w:rPr>
      </w:pPr>
    </w:p>
    <w:p w14:paraId="48BFBBE9" w14:textId="4938762D" w:rsidR="00F32847" w:rsidRPr="006F6094" w:rsidRDefault="00DE45CF" w:rsidP="00683479">
      <w:pPr>
        <w:pStyle w:val="Sangradetextonormal"/>
        <w:spacing w:after="0"/>
        <w:ind w:left="0"/>
        <w:rPr>
          <w:rFonts w:eastAsia="Calibri" w:cs="Arial"/>
          <w:sz w:val="22"/>
          <w:shd w:val="clear" w:color="auto" w:fill="FFFFFF"/>
          <w:lang w:val="es-CO"/>
        </w:rPr>
      </w:pPr>
      <w:r w:rsidRPr="006F6094">
        <w:rPr>
          <w:rFonts w:eastAsia="Calibri" w:cs="Arial"/>
          <w:sz w:val="22"/>
          <w:shd w:val="clear" w:color="auto" w:fill="FFFFFF"/>
          <w:lang w:val="es-CO"/>
        </w:rPr>
        <w:t xml:space="preserve">El modelo CAMEL </w:t>
      </w:r>
      <w:r w:rsidR="00F32847" w:rsidRPr="006F6094">
        <w:rPr>
          <w:rFonts w:eastAsia="Calibri" w:cs="Arial"/>
          <w:sz w:val="22"/>
          <w:shd w:val="clear" w:color="auto" w:fill="FFFFFF"/>
          <w:lang w:val="es-CO"/>
        </w:rPr>
        <w:t xml:space="preserve">es una metodología uniforme de evaluación de riesgo de las instituciones financieras, que permite a </w:t>
      </w:r>
      <w:r w:rsidR="00FB66E6" w:rsidRPr="006F6094">
        <w:rPr>
          <w:rFonts w:cs="Arial"/>
          <w:b/>
          <w:bCs/>
          <w:sz w:val="22"/>
        </w:rPr>
        <w:t>COOPEAIPE</w:t>
      </w:r>
      <w:r w:rsidR="00F32847" w:rsidRPr="006F6094">
        <w:rPr>
          <w:rFonts w:eastAsia="Calibri" w:cs="Arial"/>
          <w:sz w:val="22"/>
          <w:shd w:val="clear" w:color="auto" w:fill="FFFFFF"/>
          <w:lang w:val="es-CO"/>
        </w:rPr>
        <w:t xml:space="preserve"> seleccionar las mejores condiciones de Riesgo de emisor, depositario y contraparte para colocar sus recursos. Esta evaluación es utilizada principalmente en el sector financiero, basa</w:t>
      </w:r>
      <w:r w:rsidRPr="006F6094">
        <w:rPr>
          <w:rFonts w:eastAsia="Calibri" w:cs="Arial"/>
          <w:sz w:val="22"/>
          <w:shd w:val="clear" w:color="auto" w:fill="FFFFFF"/>
          <w:lang w:val="es-CO"/>
        </w:rPr>
        <w:t>d</w:t>
      </w:r>
      <w:r w:rsidR="00F32847" w:rsidRPr="006F6094">
        <w:rPr>
          <w:rFonts w:eastAsia="Calibri" w:cs="Arial"/>
          <w:sz w:val="22"/>
          <w:shd w:val="clear" w:color="auto" w:fill="FFFFFF"/>
          <w:lang w:val="es-CO"/>
        </w:rPr>
        <w:t>os en los resultados de los estados financieros que son publicados mensualmente por parte de la Superintendencia Financiera de Colombia</w:t>
      </w:r>
      <w:r w:rsidR="001704D5" w:rsidRPr="006F6094">
        <w:rPr>
          <w:rFonts w:eastAsia="Calibri" w:cs="Arial"/>
          <w:sz w:val="22"/>
          <w:shd w:val="clear" w:color="auto" w:fill="FFFFFF"/>
          <w:lang w:val="es-CO"/>
        </w:rPr>
        <w:t xml:space="preserve">, de esta forma se garantiza el uso de información confiable. </w:t>
      </w:r>
    </w:p>
    <w:p w14:paraId="1D6D9F38" w14:textId="77777777" w:rsidR="00F32847" w:rsidRPr="006F6094" w:rsidRDefault="00F32847" w:rsidP="00683479">
      <w:pPr>
        <w:pStyle w:val="Sangradetextonormal"/>
        <w:spacing w:after="0"/>
        <w:ind w:left="0"/>
        <w:rPr>
          <w:rFonts w:eastAsia="Calibri" w:cs="Arial"/>
          <w:sz w:val="22"/>
          <w:shd w:val="clear" w:color="auto" w:fill="FFFFFF"/>
          <w:lang w:val="es-CO"/>
        </w:rPr>
      </w:pPr>
    </w:p>
    <w:p w14:paraId="1181DF2B" w14:textId="3187B271" w:rsidR="00F32847" w:rsidRPr="006F6094" w:rsidRDefault="00F32847" w:rsidP="00683479">
      <w:pPr>
        <w:pStyle w:val="Textoindependiente"/>
        <w:tabs>
          <w:tab w:val="left" w:pos="360"/>
        </w:tabs>
        <w:spacing w:after="0" w:line="240" w:lineRule="auto"/>
        <w:jc w:val="both"/>
        <w:rPr>
          <w:rFonts w:ascii="Arial" w:hAnsi="Arial" w:cs="Arial"/>
          <w:shd w:val="clear" w:color="auto" w:fill="FFFFFF"/>
        </w:rPr>
      </w:pPr>
      <w:r w:rsidRPr="006F6094">
        <w:rPr>
          <w:rFonts w:ascii="Arial" w:hAnsi="Arial" w:cs="Arial"/>
          <w:shd w:val="clear" w:color="auto" w:fill="FFFFFF"/>
        </w:rPr>
        <w:t xml:space="preserve">A continuación, se exponen los motivos por los cuales cada variable es objeto de estudio. No obstante, la agrupación de estas variables se convierte en un indicador integral para medir el perfil de riesgo de emisor, depositario y contraparte de una entidad en particular. </w:t>
      </w:r>
    </w:p>
    <w:p w14:paraId="3DD55F42" w14:textId="77777777" w:rsidR="00C165EA" w:rsidRPr="006F6094" w:rsidRDefault="00C165EA" w:rsidP="00683479">
      <w:pPr>
        <w:pStyle w:val="Textoindependiente"/>
        <w:tabs>
          <w:tab w:val="left" w:pos="360"/>
        </w:tabs>
        <w:spacing w:after="0" w:line="240" w:lineRule="auto"/>
        <w:jc w:val="both"/>
        <w:rPr>
          <w:rFonts w:ascii="Arial" w:hAnsi="Arial" w:cs="Arial"/>
          <w:shd w:val="clear" w:color="auto" w:fill="FFFFFF"/>
        </w:rPr>
      </w:pPr>
    </w:p>
    <w:p w14:paraId="2BEDF9FE" w14:textId="77777777" w:rsidR="00954B0E" w:rsidRPr="006F6094" w:rsidRDefault="00F32847" w:rsidP="00683479">
      <w:pPr>
        <w:numPr>
          <w:ilvl w:val="0"/>
          <w:numId w:val="1"/>
        </w:numPr>
        <w:spacing w:after="0" w:line="240" w:lineRule="auto"/>
        <w:ind w:left="426"/>
        <w:jc w:val="both"/>
        <w:rPr>
          <w:rFonts w:ascii="Arial" w:hAnsi="Arial" w:cs="Arial"/>
          <w:shd w:val="clear" w:color="auto" w:fill="FFFFFF"/>
        </w:rPr>
      </w:pPr>
      <w:r w:rsidRPr="006F6094">
        <w:rPr>
          <w:rFonts w:ascii="Arial" w:hAnsi="Arial" w:cs="Arial"/>
          <w:b/>
          <w:shd w:val="clear" w:color="auto" w:fill="FFFFFF"/>
        </w:rPr>
        <w:t>Capital (Capital):</w:t>
      </w:r>
      <w:r w:rsidRPr="006F6094">
        <w:rPr>
          <w:rFonts w:ascii="Arial" w:hAnsi="Arial" w:cs="Arial"/>
          <w:shd w:val="clear" w:color="auto" w:fill="FFFFFF"/>
        </w:rPr>
        <w:t xml:space="preserve"> Contablemente se define como el derecho de los propietarios en los activos de la empresa y es considerada una variable fundamental en el análisis de funcionamiento de las entidades vigiladas por la Superfinanciera, en tanto </w:t>
      </w:r>
      <w:r w:rsidR="001704D5" w:rsidRPr="006F6094">
        <w:rPr>
          <w:rFonts w:ascii="Arial" w:hAnsi="Arial" w:cs="Arial"/>
          <w:shd w:val="clear" w:color="auto" w:fill="FFFFFF"/>
        </w:rPr>
        <w:t xml:space="preserve">que </w:t>
      </w:r>
      <w:r w:rsidRPr="006F6094">
        <w:rPr>
          <w:rFonts w:ascii="Arial" w:hAnsi="Arial" w:cs="Arial"/>
          <w:shd w:val="clear" w:color="auto" w:fill="FFFFFF"/>
        </w:rPr>
        <w:t>permite medir la solidez de una institución y su posible capacidad para enfrentar choques externos y para soportar pérdidas futuras no anticipadas.</w:t>
      </w:r>
    </w:p>
    <w:p w14:paraId="2D5B31D6" w14:textId="77777777" w:rsidR="00954B0E" w:rsidRPr="006F6094" w:rsidRDefault="00F32847" w:rsidP="00683479">
      <w:pPr>
        <w:numPr>
          <w:ilvl w:val="0"/>
          <w:numId w:val="1"/>
        </w:numPr>
        <w:spacing w:after="0" w:line="240" w:lineRule="auto"/>
        <w:ind w:left="426"/>
        <w:jc w:val="both"/>
        <w:rPr>
          <w:rFonts w:ascii="Arial" w:hAnsi="Arial" w:cs="Arial"/>
          <w:shd w:val="clear" w:color="auto" w:fill="FFFFFF"/>
        </w:rPr>
      </w:pPr>
      <w:r w:rsidRPr="006F6094">
        <w:rPr>
          <w:rFonts w:ascii="Arial" w:hAnsi="Arial" w:cs="Arial"/>
          <w:b/>
          <w:shd w:val="clear" w:color="auto" w:fill="FFFFFF"/>
        </w:rPr>
        <w:t>Activos (Assets):</w:t>
      </w:r>
      <w:r w:rsidRPr="006F6094">
        <w:rPr>
          <w:rFonts w:ascii="Arial" w:hAnsi="Arial" w:cs="Arial"/>
          <w:shd w:val="clear" w:color="auto" w:fill="FFFFFF"/>
        </w:rPr>
        <w:t xml:space="preserve"> Los activos constituyen los recursos que dispone la entidad y que tienen la capacidad de generar flujos futuros de ingresos a la entidad financiera, por lo que la evaluación de su composición y calidad se convierten en determinantes fundamentales para captar cualquier anomalía.  La adecuada estructura de los activos productivos de bajo nivel de riesgo constituye un elemento fundamental que permite predecir el desempeño de este tipo de entidades. </w:t>
      </w:r>
    </w:p>
    <w:p w14:paraId="2D0F07B6" w14:textId="77777777" w:rsidR="00954B0E" w:rsidRPr="006F6094" w:rsidRDefault="00F32847" w:rsidP="00683479">
      <w:pPr>
        <w:numPr>
          <w:ilvl w:val="0"/>
          <w:numId w:val="1"/>
        </w:numPr>
        <w:spacing w:after="0" w:line="240" w:lineRule="auto"/>
        <w:ind w:left="426"/>
        <w:jc w:val="both"/>
        <w:rPr>
          <w:rFonts w:ascii="Arial" w:hAnsi="Arial" w:cs="Arial"/>
          <w:shd w:val="clear" w:color="auto" w:fill="FFFFFF"/>
        </w:rPr>
      </w:pPr>
      <w:r w:rsidRPr="006F6094">
        <w:rPr>
          <w:rFonts w:ascii="Arial" w:hAnsi="Arial" w:cs="Arial"/>
          <w:b/>
          <w:shd w:val="clear" w:color="auto" w:fill="FFFFFF"/>
        </w:rPr>
        <w:t>Gestión (Management):</w:t>
      </w:r>
      <w:r w:rsidRPr="006F6094">
        <w:rPr>
          <w:rFonts w:ascii="Arial" w:hAnsi="Arial" w:cs="Arial"/>
          <w:shd w:val="clear" w:color="auto" w:fill="FFFFFF"/>
        </w:rPr>
        <w:t xml:space="preserve"> La permanencia de las instituciones dentro del sector, sin duda alguna depende en medida de la forma como éstas han sido dirigidas y de las políticas que se hayan implementado a través del tiempo. La administración se convierte en eje fundamental que, de llevarse a cabo correctamente, permite alcanzar mayores niveles de eficiencia, sostenibilidad y crecimiento.</w:t>
      </w:r>
    </w:p>
    <w:p w14:paraId="7D97AF51" w14:textId="77777777" w:rsidR="00954B0E" w:rsidRPr="006F6094" w:rsidRDefault="00F32847" w:rsidP="00683479">
      <w:pPr>
        <w:numPr>
          <w:ilvl w:val="0"/>
          <w:numId w:val="1"/>
        </w:numPr>
        <w:spacing w:after="0" w:line="240" w:lineRule="auto"/>
        <w:ind w:left="426"/>
        <w:jc w:val="both"/>
        <w:rPr>
          <w:rFonts w:ascii="Arial" w:hAnsi="Arial" w:cs="Arial"/>
          <w:shd w:val="clear" w:color="auto" w:fill="FFFFFF"/>
        </w:rPr>
      </w:pPr>
      <w:r w:rsidRPr="006F6094">
        <w:rPr>
          <w:rFonts w:ascii="Arial" w:hAnsi="Arial" w:cs="Arial"/>
          <w:b/>
          <w:shd w:val="clear" w:color="auto" w:fill="FFFFFF"/>
        </w:rPr>
        <w:t>Ganancias (Earning):</w:t>
      </w:r>
      <w:r w:rsidRPr="006F6094">
        <w:rPr>
          <w:rFonts w:ascii="Arial" w:hAnsi="Arial" w:cs="Arial"/>
          <w:shd w:val="clear" w:color="auto" w:fill="FFFFFF"/>
        </w:rPr>
        <w:t xml:space="preserve"> Es el objetivo final de cualquier institución financiera. Las ganancias reflejan la eficiencia y proporcionan recursos para aumentar el capital y así permitir su crecimiento. Por el contrario, las pérdidas, ganancias insuficientes o las ganancias generadas por una fuente inestable constituyen una amenaza para la entidad financiera. La calidad de las ganancias es también un factor determinante en la perpetuidad de dichas organizaciones.</w:t>
      </w:r>
    </w:p>
    <w:p w14:paraId="4849B689" w14:textId="343C0859" w:rsidR="00C165EA" w:rsidRPr="00246BA9" w:rsidRDefault="00F32847" w:rsidP="00246BA9">
      <w:pPr>
        <w:numPr>
          <w:ilvl w:val="0"/>
          <w:numId w:val="1"/>
        </w:numPr>
        <w:spacing w:after="0" w:line="240" w:lineRule="auto"/>
        <w:ind w:left="426"/>
        <w:jc w:val="both"/>
        <w:rPr>
          <w:rFonts w:ascii="Arial" w:hAnsi="Arial" w:cs="Arial"/>
          <w:shd w:val="clear" w:color="auto" w:fill="FFFFFF"/>
        </w:rPr>
      </w:pPr>
      <w:r w:rsidRPr="006F6094">
        <w:rPr>
          <w:rFonts w:ascii="Arial" w:hAnsi="Arial" w:cs="Arial"/>
          <w:b/>
          <w:shd w:val="clear" w:color="auto" w:fill="FFFFFF"/>
        </w:rPr>
        <w:t>Liquidez (Liquidity):</w:t>
      </w:r>
      <w:r w:rsidRPr="006F6094">
        <w:rPr>
          <w:rFonts w:ascii="Arial" w:hAnsi="Arial" w:cs="Arial"/>
          <w:shd w:val="clear" w:color="auto" w:fill="FFFFFF"/>
        </w:rPr>
        <w:t xml:space="preserve"> En el caso de las instituciones financieras esta variable toma mayor importancia debido a que constantemente atienden demandas de efectivo por parte de sus clientes.  La necesidad de liquidez de los depositantes suele aumentarse en épocas anteriores a las crisis, desencadenando corridas de depósitos que debilitan la entidad, incluso hasta su quiebra. Un elemento poderosamente importante es que históricamente las entidades han colapsado por dificultades de su flujo de caja.</w:t>
      </w:r>
    </w:p>
    <w:p w14:paraId="0764A2C6" w14:textId="77777777" w:rsidR="007A3CC7" w:rsidRPr="006F6094" w:rsidRDefault="00AE73D3" w:rsidP="00683479">
      <w:pPr>
        <w:pStyle w:val="Ttulo2"/>
        <w:spacing w:before="0" w:after="0" w:line="240" w:lineRule="auto"/>
        <w:jc w:val="both"/>
        <w:rPr>
          <w:rFonts w:ascii="Arial" w:hAnsi="Arial" w:cs="Arial"/>
          <w:bCs w:val="0"/>
          <w:i w:val="0"/>
          <w:sz w:val="22"/>
          <w:szCs w:val="22"/>
        </w:rPr>
      </w:pPr>
      <w:bookmarkStart w:id="9" w:name="_Toc108966246"/>
      <w:r w:rsidRPr="006F6094">
        <w:rPr>
          <w:rFonts w:ascii="Arial" w:hAnsi="Arial" w:cs="Arial"/>
          <w:bCs w:val="0"/>
          <w:i w:val="0"/>
          <w:sz w:val="22"/>
          <w:szCs w:val="22"/>
        </w:rPr>
        <w:lastRenderedPageBreak/>
        <w:t>DESCRIPCIÓN TÉCNICA MODELO CAMEL</w:t>
      </w:r>
      <w:bookmarkEnd w:id="9"/>
      <w:r w:rsidRPr="006F6094">
        <w:rPr>
          <w:rFonts w:ascii="Arial" w:hAnsi="Arial" w:cs="Arial"/>
          <w:bCs w:val="0"/>
          <w:i w:val="0"/>
          <w:sz w:val="22"/>
          <w:szCs w:val="22"/>
        </w:rPr>
        <w:t xml:space="preserve"> </w:t>
      </w:r>
    </w:p>
    <w:p w14:paraId="3AC530CA" w14:textId="77777777" w:rsidR="00AE73D3" w:rsidRPr="006F6094" w:rsidRDefault="00AE73D3" w:rsidP="00683479">
      <w:pPr>
        <w:spacing w:after="0" w:line="240" w:lineRule="auto"/>
        <w:rPr>
          <w:rFonts w:ascii="Arial" w:hAnsi="Arial" w:cs="Arial"/>
          <w:shd w:val="clear" w:color="auto" w:fill="FFFFFF"/>
        </w:rPr>
      </w:pPr>
    </w:p>
    <w:p w14:paraId="39ED8B54" w14:textId="77777777" w:rsidR="00AE73D3" w:rsidRPr="006F6094" w:rsidRDefault="00AE73D3" w:rsidP="00683479">
      <w:pPr>
        <w:spacing w:after="0" w:line="240" w:lineRule="auto"/>
        <w:rPr>
          <w:rFonts w:ascii="Arial" w:hAnsi="Arial" w:cs="Arial"/>
          <w:shd w:val="clear" w:color="auto" w:fill="FFFFFF"/>
        </w:rPr>
      </w:pPr>
      <w:r w:rsidRPr="006F6094">
        <w:rPr>
          <w:rFonts w:ascii="Arial" w:hAnsi="Arial" w:cs="Arial"/>
          <w:shd w:val="clear" w:color="auto" w:fill="FFFFFF"/>
        </w:rPr>
        <w:t xml:space="preserve">El desarrollo del Modelo CAMEL se realiza aplicando los siguientes 12 pasos: </w:t>
      </w:r>
    </w:p>
    <w:p w14:paraId="1D38F467" w14:textId="3034587A" w:rsidR="00954B0E" w:rsidRPr="006F6094" w:rsidRDefault="00AE73D3" w:rsidP="00683479">
      <w:pPr>
        <w:pStyle w:val="Ttulo3"/>
        <w:spacing w:before="0" w:after="0" w:line="240" w:lineRule="auto"/>
        <w:rPr>
          <w:rFonts w:ascii="Arial" w:hAnsi="Arial" w:cs="Arial"/>
          <w:bCs w:val="0"/>
          <w:sz w:val="22"/>
          <w:szCs w:val="22"/>
          <w:shd w:val="clear" w:color="auto" w:fill="FFFFFF"/>
        </w:rPr>
      </w:pPr>
      <w:bookmarkStart w:id="10" w:name="_Toc108966247"/>
      <w:r w:rsidRPr="006F6094">
        <w:rPr>
          <w:rFonts w:ascii="Arial" w:hAnsi="Arial" w:cs="Arial"/>
          <w:bCs w:val="0"/>
          <w:sz w:val="22"/>
          <w:szCs w:val="22"/>
          <w:shd w:val="clear" w:color="auto" w:fill="FFFFFF"/>
        </w:rPr>
        <w:t>CONSOLIDAR INFORMACIÓN FINANCIERA DE ENTIDADES A ANALIZAR</w:t>
      </w:r>
      <w:bookmarkEnd w:id="10"/>
    </w:p>
    <w:p w14:paraId="63332000" w14:textId="77777777" w:rsidR="00954B0E" w:rsidRPr="006F6094" w:rsidRDefault="00954B0E" w:rsidP="00683479">
      <w:pPr>
        <w:spacing w:after="0" w:line="240" w:lineRule="auto"/>
        <w:rPr>
          <w:rFonts w:ascii="Arial" w:hAnsi="Arial" w:cs="Arial"/>
        </w:rPr>
      </w:pPr>
    </w:p>
    <w:p w14:paraId="1C30452C" w14:textId="77777777" w:rsidR="00AE73D3" w:rsidRPr="006F6094" w:rsidRDefault="00AE73D3" w:rsidP="00683479">
      <w:pPr>
        <w:pStyle w:val="Sangradetextonormal"/>
        <w:spacing w:after="0"/>
        <w:ind w:left="0"/>
        <w:rPr>
          <w:rFonts w:eastAsia="Calibri" w:cs="Arial"/>
          <w:sz w:val="22"/>
          <w:shd w:val="clear" w:color="auto" w:fill="FFFFFF"/>
          <w:lang w:val="es-CO"/>
        </w:rPr>
      </w:pPr>
      <w:r w:rsidRPr="006F6094">
        <w:rPr>
          <w:rFonts w:eastAsia="Calibri" w:cs="Arial"/>
          <w:sz w:val="22"/>
          <w:shd w:val="clear" w:color="auto" w:fill="FFFFFF"/>
          <w:lang w:val="es-CO"/>
        </w:rPr>
        <w:t>Cada una de las variables a analizar (</w:t>
      </w:r>
      <w:r w:rsidRPr="006F6094">
        <w:rPr>
          <w:rFonts w:eastAsia="Calibri" w:cs="Arial"/>
          <w:b/>
          <w:sz w:val="22"/>
          <w:shd w:val="clear" w:color="auto" w:fill="FFFFFF"/>
          <w:lang w:val="es-CO"/>
        </w:rPr>
        <w:t>C:</w:t>
      </w:r>
      <w:r w:rsidRPr="006F6094">
        <w:rPr>
          <w:rFonts w:eastAsia="Calibri" w:cs="Arial"/>
          <w:sz w:val="22"/>
          <w:shd w:val="clear" w:color="auto" w:fill="FFFFFF"/>
          <w:lang w:val="es-CO"/>
        </w:rPr>
        <w:t xml:space="preserve"> Capital Adecuacy - Capital adecuado, </w:t>
      </w:r>
      <w:r w:rsidRPr="006F6094">
        <w:rPr>
          <w:rFonts w:eastAsia="Calibri" w:cs="Arial"/>
          <w:b/>
          <w:sz w:val="22"/>
          <w:shd w:val="clear" w:color="auto" w:fill="FFFFFF"/>
          <w:lang w:val="es-CO"/>
        </w:rPr>
        <w:t>A:</w:t>
      </w:r>
      <w:r w:rsidRPr="006F6094">
        <w:rPr>
          <w:rFonts w:eastAsia="Calibri" w:cs="Arial"/>
          <w:sz w:val="22"/>
          <w:shd w:val="clear" w:color="auto" w:fill="FFFFFF"/>
          <w:lang w:val="es-CO"/>
        </w:rPr>
        <w:t xml:space="preserve"> Assets - calidad de activos </w:t>
      </w:r>
      <w:r w:rsidRPr="006F6094">
        <w:rPr>
          <w:rFonts w:eastAsia="Calibri" w:cs="Arial"/>
          <w:b/>
          <w:sz w:val="22"/>
          <w:shd w:val="clear" w:color="auto" w:fill="FFFFFF"/>
          <w:lang w:val="es-CO"/>
        </w:rPr>
        <w:t xml:space="preserve">M: </w:t>
      </w:r>
      <w:r w:rsidRPr="006F6094">
        <w:rPr>
          <w:rFonts w:eastAsia="Calibri" w:cs="Arial"/>
          <w:sz w:val="22"/>
          <w:shd w:val="clear" w:color="auto" w:fill="FFFFFF"/>
          <w:lang w:val="es-CO"/>
        </w:rPr>
        <w:t xml:space="preserve">Management - calidad de la administración, </w:t>
      </w:r>
      <w:r w:rsidRPr="006F6094">
        <w:rPr>
          <w:rFonts w:eastAsia="Calibri" w:cs="Arial"/>
          <w:b/>
          <w:sz w:val="22"/>
          <w:shd w:val="clear" w:color="auto" w:fill="FFFFFF"/>
          <w:lang w:val="es-CO"/>
        </w:rPr>
        <w:t>E:</w:t>
      </w:r>
      <w:r w:rsidRPr="006F6094">
        <w:rPr>
          <w:rFonts w:eastAsia="Calibri" w:cs="Arial"/>
          <w:sz w:val="22"/>
          <w:shd w:val="clear" w:color="auto" w:fill="FFFFFF"/>
          <w:lang w:val="es-CO"/>
        </w:rPr>
        <w:t xml:space="preserve"> Earnings - capacidad de generar ganancias, </w:t>
      </w:r>
      <w:r w:rsidRPr="006F6094">
        <w:rPr>
          <w:rFonts w:eastAsia="Calibri" w:cs="Arial"/>
          <w:b/>
          <w:sz w:val="22"/>
          <w:shd w:val="clear" w:color="auto" w:fill="FFFFFF"/>
          <w:lang w:val="es-CO"/>
        </w:rPr>
        <w:t>L:</w:t>
      </w:r>
      <w:r w:rsidRPr="006F6094">
        <w:rPr>
          <w:rFonts w:eastAsia="Calibri" w:cs="Arial"/>
          <w:sz w:val="22"/>
          <w:shd w:val="clear" w:color="auto" w:fill="FFFFFF"/>
          <w:lang w:val="es-CO"/>
        </w:rPr>
        <w:t xml:space="preserve"> Liquidity - capacidad de liquidez), es calculada con una selección técnica de indicadores financieros y gerenciales, que </w:t>
      </w:r>
      <w:r w:rsidR="00E153A6" w:rsidRPr="006F6094">
        <w:rPr>
          <w:rFonts w:eastAsia="Calibri" w:cs="Arial"/>
          <w:sz w:val="22"/>
          <w:shd w:val="clear" w:color="auto" w:fill="FFFFFF"/>
          <w:lang w:val="es-CO"/>
        </w:rPr>
        <w:t>el área</w:t>
      </w:r>
      <w:r w:rsidRPr="006F6094">
        <w:rPr>
          <w:rFonts w:eastAsia="Calibri" w:cs="Arial"/>
          <w:sz w:val="22"/>
          <w:shd w:val="clear" w:color="auto" w:fill="FFFFFF"/>
          <w:lang w:val="es-CO"/>
        </w:rPr>
        <w:t xml:space="preserve"> de Riesgos debe obtener de la información pública expuesta por parte de la Superintendencia Financiera de Colombia en su sitio web relacionada con los estados financieros (balance general y estado de resultados) de los establecimientos de crédito existentes en Colombia. </w:t>
      </w:r>
    </w:p>
    <w:p w14:paraId="02DA6C0D" w14:textId="77777777" w:rsidR="00AE73D3" w:rsidRPr="006F6094" w:rsidRDefault="00AE73D3" w:rsidP="00683479">
      <w:pPr>
        <w:pStyle w:val="Sangradetextonormal"/>
        <w:spacing w:after="0"/>
        <w:ind w:left="0"/>
        <w:rPr>
          <w:rFonts w:eastAsia="Calibri" w:cs="Arial"/>
          <w:sz w:val="22"/>
          <w:shd w:val="clear" w:color="auto" w:fill="FFFFFF"/>
          <w:lang w:val="es-CO"/>
        </w:rPr>
      </w:pPr>
    </w:p>
    <w:p w14:paraId="106FD1A4" w14:textId="77777777" w:rsidR="00AE73D3" w:rsidRPr="006F6094" w:rsidRDefault="00AE73D3" w:rsidP="00683479">
      <w:pPr>
        <w:pStyle w:val="Ttulo3"/>
        <w:spacing w:before="0" w:after="0" w:line="240" w:lineRule="auto"/>
        <w:rPr>
          <w:rFonts w:ascii="Arial" w:hAnsi="Arial" w:cs="Arial"/>
          <w:bCs w:val="0"/>
          <w:sz w:val="22"/>
          <w:szCs w:val="22"/>
          <w:shd w:val="clear" w:color="auto" w:fill="FFFFFF"/>
        </w:rPr>
      </w:pPr>
      <w:bookmarkStart w:id="11" w:name="_Toc108966248"/>
      <w:r w:rsidRPr="006F6094">
        <w:rPr>
          <w:rFonts w:ascii="Arial" w:hAnsi="Arial" w:cs="Arial"/>
          <w:bCs w:val="0"/>
          <w:sz w:val="22"/>
          <w:szCs w:val="22"/>
          <w:shd w:val="clear" w:color="auto" w:fill="FFFFFF"/>
        </w:rPr>
        <w:t>ALISTAMIENTO DE INDICADORES PARA CADA VARIABLE</w:t>
      </w:r>
      <w:bookmarkEnd w:id="11"/>
      <w:r w:rsidRPr="006F6094">
        <w:rPr>
          <w:rFonts w:ascii="Arial" w:hAnsi="Arial" w:cs="Arial"/>
          <w:bCs w:val="0"/>
          <w:sz w:val="22"/>
          <w:szCs w:val="22"/>
          <w:shd w:val="clear" w:color="auto" w:fill="FFFFFF"/>
        </w:rPr>
        <w:t xml:space="preserve"> </w:t>
      </w:r>
    </w:p>
    <w:p w14:paraId="2CCA4CC9" w14:textId="77777777" w:rsidR="00014937" w:rsidRPr="006F6094" w:rsidRDefault="00014937" w:rsidP="00683479">
      <w:pPr>
        <w:pStyle w:val="Textoindependiente"/>
        <w:tabs>
          <w:tab w:val="left" w:pos="360"/>
        </w:tabs>
        <w:spacing w:after="0" w:line="240" w:lineRule="auto"/>
        <w:jc w:val="both"/>
        <w:rPr>
          <w:rFonts w:ascii="Arial" w:hAnsi="Arial" w:cs="Arial"/>
          <w:b/>
          <w:shd w:val="clear" w:color="auto" w:fill="FFFFFF"/>
        </w:rPr>
      </w:pPr>
    </w:p>
    <w:p w14:paraId="4B3B46C5" w14:textId="2270D0CA" w:rsidR="00020FAD" w:rsidRPr="00246BA9" w:rsidRDefault="00821E81" w:rsidP="00246BA9">
      <w:pPr>
        <w:pStyle w:val="Textoindependiente"/>
        <w:tabs>
          <w:tab w:val="left" w:pos="360"/>
        </w:tabs>
        <w:spacing w:after="0" w:line="240" w:lineRule="auto"/>
        <w:jc w:val="both"/>
        <w:rPr>
          <w:rFonts w:ascii="Arial" w:hAnsi="Arial" w:cs="Arial"/>
          <w:shd w:val="clear" w:color="auto" w:fill="FFFFFF"/>
        </w:rPr>
      </w:pPr>
      <w:r w:rsidRPr="006F6094">
        <w:rPr>
          <w:rFonts w:ascii="Arial" w:hAnsi="Arial" w:cs="Arial"/>
          <w:shd w:val="clear" w:color="auto" w:fill="FFFFFF"/>
        </w:rPr>
        <w:t>El</w:t>
      </w:r>
      <w:r w:rsidR="00014937" w:rsidRPr="006F6094">
        <w:rPr>
          <w:rFonts w:ascii="Arial" w:hAnsi="Arial" w:cs="Arial"/>
          <w:shd w:val="clear" w:color="auto" w:fill="FFFFFF"/>
        </w:rPr>
        <w:t xml:space="preserve"> </w:t>
      </w:r>
      <w:r w:rsidR="00E153A6" w:rsidRPr="006F6094">
        <w:rPr>
          <w:rFonts w:ascii="Arial" w:hAnsi="Arial" w:cs="Arial"/>
          <w:shd w:val="clear" w:color="auto" w:fill="FFFFFF"/>
        </w:rPr>
        <w:t>área de</w:t>
      </w:r>
      <w:r w:rsidRPr="006F6094">
        <w:rPr>
          <w:rFonts w:ascii="Arial" w:hAnsi="Arial" w:cs="Arial"/>
          <w:shd w:val="clear" w:color="auto" w:fill="FFFFFF"/>
        </w:rPr>
        <w:t xml:space="preserve"> Riesgos </w:t>
      </w:r>
      <w:r w:rsidR="00AE73D3" w:rsidRPr="006F6094">
        <w:rPr>
          <w:rFonts w:ascii="Arial" w:hAnsi="Arial" w:cs="Arial"/>
          <w:shd w:val="clear" w:color="auto" w:fill="FFFFFF"/>
        </w:rPr>
        <w:t xml:space="preserve">debe obtener los estados financieros y los indicadores gerenciales del sitio web </w:t>
      </w:r>
      <w:r w:rsidR="00014937" w:rsidRPr="006F6094">
        <w:rPr>
          <w:rFonts w:ascii="Arial" w:hAnsi="Arial" w:cs="Arial"/>
          <w:shd w:val="clear" w:color="auto" w:fill="FFFFFF"/>
        </w:rPr>
        <w:t>oficial</w:t>
      </w:r>
      <w:r w:rsidR="00AE73D3" w:rsidRPr="006F6094">
        <w:rPr>
          <w:rFonts w:ascii="Arial" w:hAnsi="Arial" w:cs="Arial"/>
          <w:shd w:val="clear" w:color="auto" w:fill="FFFFFF"/>
        </w:rPr>
        <w:t xml:space="preserve"> de la Superfinanciera. Algunos de los indicadores gerenciales que se utilizarán </w:t>
      </w:r>
      <w:r w:rsidR="00014937" w:rsidRPr="006F6094">
        <w:rPr>
          <w:rFonts w:ascii="Arial" w:hAnsi="Arial" w:cs="Arial"/>
          <w:shd w:val="clear" w:color="auto" w:fill="FFFFFF"/>
        </w:rPr>
        <w:t xml:space="preserve">para </w:t>
      </w:r>
      <w:r w:rsidR="00AE73D3" w:rsidRPr="006F6094">
        <w:rPr>
          <w:rFonts w:ascii="Arial" w:hAnsi="Arial" w:cs="Arial"/>
          <w:shd w:val="clear" w:color="auto" w:fill="FFFFFF"/>
        </w:rPr>
        <w:t>medir el riesgo de emisor, depositario y contraparte generado por los establecimientos de crédito</w:t>
      </w:r>
      <w:r w:rsidR="006E28B3" w:rsidRPr="006F6094">
        <w:rPr>
          <w:rFonts w:ascii="Arial" w:hAnsi="Arial" w:cs="Arial"/>
          <w:shd w:val="clear" w:color="auto" w:fill="FFFFFF"/>
        </w:rPr>
        <w:t>.</w:t>
      </w:r>
      <w:r w:rsidR="00246BA9">
        <w:rPr>
          <w:rFonts w:ascii="Arial" w:hAnsi="Arial" w:cs="Arial"/>
          <w:shd w:val="clear" w:color="auto" w:fill="FFFFFF"/>
        </w:rPr>
        <w:t xml:space="preserve"> </w:t>
      </w:r>
      <w:r w:rsidR="00D5470F" w:rsidRPr="006F6094">
        <w:rPr>
          <w:rFonts w:ascii="Arial" w:eastAsia="Arial" w:hAnsi="Arial" w:cs="Arial"/>
          <w:lang w:eastAsia="es-ES" w:bidi="es-ES"/>
        </w:rPr>
        <w:t xml:space="preserve">Para cada una de las variables generales del modelo se establece un porcentaje de participación del 20%, identificando dos indicadores para cada variable. </w:t>
      </w:r>
    </w:p>
    <w:p w14:paraId="086936CA" w14:textId="77777777" w:rsidR="00C165EA" w:rsidRPr="006F6094" w:rsidRDefault="00C165EA" w:rsidP="00683479">
      <w:pPr>
        <w:spacing w:after="0" w:line="240" w:lineRule="auto"/>
        <w:rPr>
          <w:rFonts w:ascii="Arial" w:eastAsia="Arial" w:hAnsi="Arial" w:cs="Arial"/>
          <w:lang w:eastAsia="es-ES" w:bidi="es-ES"/>
        </w:rPr>
      </w:pPr>
    </w:p>
    <w:p w14:paraId="66577820" w14:textId="77777777" w:rsidR="008B7A7C" w:rsidRPr="006F6094" w:rsidRDefault="008B7A7C" w:rsidP="00683479">
      <w:pPr>
        <w:pStyle w:val="Ttulo3"/>
        <w:spacing w:before="0" w:after="0" w:line="240" w:lineRule="auto"/>
        <w:rPr>
          <w:rFonts w:ascii="Arial" w:hAnsi="Arial" w:cs="Arial"/>
          <w:bCs w:val="0"/>
          <w:sz w:val="22"/>
          <w:szCs w:val="22"/>
          <w:shd w:val="clear" w:color="auto" w:fill="FFFFFF"/>
        </w:rPr>
      </w:pPr>
      <w:bookmarkStart w:id="12" w:name="_Toc108966249"/>
      <w:r w:rsidRPr="006F6094">
        <w:rPr>
          <w:rFonts w:ascii="Arial" w:hAnsi="Arial" w:cs="Arial"/>
          <w:bCs w:val="0"/>
          <w:sz w:val="22"/>
          <w:szCs w:val="22"/>
          <w:shd w:val="clear" w:color="auto" w:fill="FFFFFF"/>
        </w:rPr>
        <w:t>IDENTIFICAR GRADOS DE COLINEALIDAD</w:t>
      </w:r>
      <w:bookmarkEnd w:id="12"/>
      <w:r w:rsidRPr="006F6094">
        <w:rPr>
          <w:rFonts w:ascii="Arial" w:hAnsi="Arial" w:cs="Arial"/>
          <w:bCs w:val="0"/>
          <w:sz w:val="22"/>
          <w:szCs w:val="22"/>
          <w:shd w:val="clear" w:color="auto" w:fill="FFFFFF"/>
        </w:rPr>
        <w:t xml:space="preserve"> </w:t>
      </w:r>
    </w:p>
    <w:p w14:paraId="44A84675" w14:textId="77777777" w:rsidR="00A252DD" w:rsidRPr="006F6094" w:rsidRDefault="00A252DD" w:rsidP="00683479">
      <w:pPr>
        <w:pStyle w:val="Sangradetextonormal"/>
        <w:spacing w:after="0"/>
        <w:ind w:left="0"/>
        <w:rPr>
          <w:rFonts w:cs="Arial"/>
          <w:sz w:val="22"/>
        </w:rPr>
      </w:pPr>
    </w:p>
    <w:p w14:paraId="41573E5B" w14:textId="0ECF61E4" w:rsidR="00A252DD" w:rsidRPr="006F6094" w:rsidRDefault="00371489" w:rsidP="00683479">
      <w:pPr>
        <w:pStyle w:val="Sangradetextonormal"/>
        <w:spacing w:after="0"/>
        <w:ind w:left="0"/>
        <w:rPr>
          <w:rFonts w:cs="Arial"/>
          <w:bCs/>
          <w:snapToGrid w:val="0"/>
          <w:sz w:val="22"/>
        </w:rPr>
      </w:pPr>
      <w:r w:rsidRPr="006F6094">
        <w:rPr>
          <w:rFonts w:eastAsia="Arial" w:cs="Arial"/>
          <w:sz w:val="22"/>
          <w:lang w:eastAsia="es-ES" w:bidi="es-ES"/>
        </w:rPr>
        <w:t xml:space="preserve">Luego realizar la extracción de información y la preparación de </w:t>
      </w:r>
      <w:r w:rsidR="00954B0E" w:rsidRPr="006F6094">
        <w:rPr>
          <w:rFonts w:eastAsia="Arial" w:cs="Arial"/>
          <w:sz w:val="22"/>
          <w:lang w:eastAsia="es-ES" w:bidi="es-ES"/>
        </w:rPr>
        <w:t>esta</w:t>
      </w:r>
      <w:r w:rsidRPr="006F6094">
        <w:rPr>
          <w:rFonts w:eastAsia="Arial" w:cs="Arial"/>
          <w:sz w:val="22"/>
          <w:lang w:eastAsia="es-ES" w:bidi="es-ES"/>
        </w:rPr>
        <w:t xml:space="preserve"> se procede determinar el grado de colinealidad de los indicadores seleccionados para lo cual se debe construir la matriz de correlación. El proceso consiste en identificar los indicadores que presenten una correlación superior a 0,70 para excluir de manera discrecional uno de los dos indicadores, garantizando de esta manera que solo se incorporen los que presenten mayor diversidad y menor grado de colinealidad.</w:t>
      </w:r>
      <w:r w:rsidR="00246BA9">
        <w:rPr>
          <w:rFonts w:eastAsia="Arial" w:cs="Arial"/>
          <w:sz w:val="22"/>
          <w:lang w:eastAsia="es-ES" w:bidi="es-ES"/>
        </w:rPr>
        <w:t xml:space="preserve"> </w:t>
      </w:r>
      <w:r w:rsidR="00BB4DC8" w:rsidRPr="006F6094">
        <w:rPr>
          <w:rFonts w:cs="Arial"/>
          <w:sz w:val="22"/>
        </w:rPr>
        <w:t xml:space="preserve">Para calcular el grado de colinealidad se debe emplear la función de correlación simple de Pearson, la cual determina el grado y dirección de la relación lineal existente entre dos variables. </w:t>
      </w:r>
    </w:p>
    <w:p w14:paraId="63ECC8AC" w14:textId="1E900A29" w:rsidR="00BB4DC8" w:rsidRPr="006F6094" w:rsidRDefault="00BB4DC8" w:rsidP="00683479">
      <w:pPr>
        <w:spacing w:after="0" w:line="240" w:lineRule="auto"/>
        <w:rPr>
          <w:rFonts w:ascii="Arial" w:hAnsi="Arial" w:cs="Arial"/>
          <w:lang w:val="es-ES"/>
        </w:rPr>
      </w:pPr>
    </w:p>
    <w:p w14:paraId="0DDB52E4" w14:textId="77777777" w:rsidR="00CD53A8" w:rsidRPr="006F6094" w:rsidRDefault="00CD53A8" w:rsidP="00683479">
      <w:pPr>
        <w:pStyle w:val="Ttulo3"/>
        <w:spacing w:before="0" w:after="0" w:line="240" w:lineRule="auto"/>
        <w:rPr>
          <w:rFonts w:ascii="Arial" w:hAnsi="Arial" w:cs="Arial"/>
          <w:bCs w:val="0"/>
          <w:sz w:val="22"/>
          <w:szCs w:val="22"/>
          <w:lang w:val="es-ES"/>
        </w:rPr>
      </w:pPr>
      <w:bookmarkStart w:id="13" w:name="_Toc108966250"/>
      <w:r w:rsidRPr="006F6094">
        <w:rPr>
          <w:rFonts w:ascii="Arial" w:hAnsi="Arial" w:cs="Arial"/>
          <w:bCs w:val="0"/>
          <w:sz w:val="22"/>
          <w:szCs w:val="22"/>
          <w:lang w:val="es-ES"/>
        </w:rPr>
        <w:t>SELECCIONAR INDICADORES FINANCIEROS</w:t>
      </w:r>
      <w:bookmarkEnd w:id="13"/>
      <w:r w:rsidRPr="006F6094">
        <w:rPr>
          <w:rFonts w:ascii="Arial" w:hAnsi="Arial" w:cs="Arial"/>
          <w:bCs w:val="0"/>
          <w:sz w:val="22"/>
          <w:szCs w:val="22"/>
          <w:lang w:val="es-ES"/>
        </w:rPr>
        <w:t xml:space="preserve"> </w:t>
      </w:r>
    </w:p>
    <w:p w14:paraId="3207B797" w14:textId="77777777" w:rsidR="00792634" w:rsidRPr="006F6094" w:rsidRDefault="00792634" w:rsidP="00683479">
      <w:pPr>
        <w:pStyle w:val="Textoindependiente"/>
        <w:tabs>
          <w:tab w:val="left" w:pos="360"/>
        </w:tabs>
        <w:spacing w:after="0" w:line="240" w:lineRule="auto"/>
        <w:jc w:val="both"/>
        <w:rPr>
          <w:rFonts w:ascii="Arial" w:hAnsi="Arial" w:cs="Arial"/>
          <w:b/>
        </w:rPr>
      </w:pPr>
    </w:p>
    <w:p w14:paraId="6D1AEF9F" w14:textId="77777777" w:rsidR="00CD53A8" w:rsidRPr="006F6094" w:rsidRDefault="00CD53A8" w:rsidP="00683479">
      <w:pPr>
        <w:pStyle w:val="Textoindependiente"/>
        <w:tabs>
          <w:tab w:val="left" w:pos="360"/>
        </w:tabs>
        <w:spacing w:after="0" w:line="240" w:lineRule="auto"/>
        <w:jc w:val="both"/>
        <w:rPr>
          <w:rFonts w:ascii="Arial" w:hAnsi="Arial" w:cs="Arial"/>
        </w:rPr>
      </w:pPr>
      <w:r w:rsidRPr="006F6094">
        <w:rPr>
          <w:rFonts w:ascii="Arial" w:hAnsi="Arial" w:cs="Arial"/>
        </w:rPr>
        <w:t xml:space="preserve">El tema medular del modelo radica en la combinación técnica de los indicadores de cada variable CAMEL, de forma que permita establecer el perfil de riesgo de emisor, depositario y contraparte </w:t>
      </w:r>
      <w:r w:rsidR="00FE7F37" w:rsidRPr="006F6094">
        <w:rPr>
          <w:rFonts w:ascii="Arial" w:hAnsi="Arial" w:cs="Arial"/>
        </w:rPr>
        <w:t xml:space="preserve">para </w:t>
      </w:r>
      <w:r w:rsidRPr="006F6094">
        <w:rPr>
          <w:rFonts w:ascii="Arial" w:hAnsi="Arial" w:cs="Arial"/>
        </w:rPr>
        <w:t xml:space="preserve">cada entidad, resultado que será empleado en la fijación de los cupos respectivos. </w:t>
      </w:r>
    </w:p>
    <w:p w14:paraId="3D67A9D0" w14:textId="77777777" w:rsidR="00CD53A8" w:rsidRPr="006F6094" w:rsidRDefault="00CD53A8" w:rsidP="00683479">
      <w:pPr>
        <w:pStyle w:val="Textoindependiente"/>
        <w:tabs>
          <w:tab w:val="left" w:pos="360"/>
        </w:tabs>
        <w:spacing w:after="0" w:line="240" w:lineRule="auto"/>
        <w:jc w:val="both"/>
        <w:rPr>
          <w:rFonts w:ascii="Arial" w:hAnsi="Arial" w:cs="Arial"/>
        </w:rPr>
      </w:pPr>
      <w:r w:rsidRPr="006F6094">
        <w:rPr>
          <w:rFonts w:ascii="Arial" w:hAnsi="Arial" w:cs="Arial"/>
        </w:rPr>
        <w:t>Para garantizar la adecuada selección de indicadores financieros se procederá a eliminar aquellos que en la matriz de correlación presenten un grado de colinealidad superior a 0,70, con el fin de evitar que el modelo quede sobre especificado o recargado en alguna de las variables del modelo CAMEL.</w:t>
      </w:r>
    </w:p>
    <w:p w14:paraId="4CEA5E90" w14:textId="77777777" w:rsidR="00792634" w:rsidRPr="006F6094" w:rsidRDefault="00792634" w:rsidP="00683479">
      <w:pPr>
        <w:pStyle w:val="Textoindependiente"/>
        <w:tabs>
          <w:tab w:val="left" w:pos="360"/>
        </w:tabs>
        <w:spacing w:after="0" w:line="240" w:lineRule="auto"/>
        <w:jc w:val="both"/>
        <w:rPr>
          <w:rFonts w:ascii="Arial" w:hAnsi="Arial" w:cs="Arial"/>
        </w:rPr>
      </w:pPr>
    </w:p>
    <w:p w14:paraId="20D3C806" w14:textId="56CDA557" w:rsidR="00792634" w:rsidRPr="006F6094" w:rsidRDefault="009B2E95" w:rsidP="00683479">
      <w:pPr>
        <w:pStyle w:val="Ttulo3"/>
        <w:spacing w:before="0" w:after="0" w:line="240" w:lineRule="auto"/>
        <w:jc w:val="both"/>
        <w:rPr>
          <w:rFonts w:ascii="Arial" w:hAnsi="Arial" w:cs="Arial"/>
          <w:bCs w:val="0"/>
          <w:sz w:val="22"/>
          <w:szCs w:val="22"/>
        </w:rPr>
      </w:pPr>
      <w:bookmarkStart w:id="14" w:name="_Toc108966251"/>
      <w:r w:rsidRPr="006F6094">
        <w:rPr>
          <w:rFonts w:ascii="Arial" w:hAnsi="Arial" w:cs="Arial"/>
          <w:bCs w:val="0"/>
          <w:sz w:val="22"/>
          <w:szCs w:val="22"/>
        </w:rPr>
        <w:lastRenderedPageBreak/>
        <w:t>DEFINICIÓN GRUPOS O PERFILES DE RIESGO DE EMISOR, DEPOSITARIO Y CONTRAPARTE</w:t>
      </w:r>
      <w:bookmarkEnd w:id="14"/>
      <w:r w:rsidRPr="006F6094">
        <w:rPr>
          <w:rFonts w:ascii="Arial" w:hAnsi="Arial" w:cs="Arial"/>
          <w:bCs w:val="0"/>
          <w:sz w:val="22"/>
          <w:szCs w:val="22"/>
        </w:rPr>
        <w:t xml:space="preserve"> </w:t>
      </w:r>
    </w:p>
    <w:p w14:paraId="2A4CD38C" w14:textId="77777777" w:rsidR="00834802" w:rsidRPr="006F6094" w:rsidRDefault="00834802" w:rsidP="00683479">
      <w:pPr>
        <w:spacing w:after="0" w:line="240" w:lineRule="auto"/>
        <w:rPr>
          <w:rFonts w:ascii="Arial" w:hAnsi="Arial" w:cs="Arial"/>
        </w:rPr>
      </w:pPr>
    </w:p>
    <w:p w14:paraId="77AD4792" w14:textId="47678985" w:rsidR="009B2E95" w:rsidRPr="006F6094" w:rsidRDefault="009B2E95" w:rsidP="00683479">
      <w:pPr>
        <w:pStyle w:val="Textoindependiente"/>
        <w:tabs>
          <w:tab w:val="left" w:pos="360"/>
        </w:tabs>
        <w:spacing w:after="0" w:line="240" w:lineRule="auto"/>
        <w:jc w:val="both"/>
        <w:rPr>
          <w:rFonts w:ascii="Arial" w:hAnsi="Arial" w:cs="Arial"/>
        </w:rPr>
      </w:pPr>
      <w:r w:rsidRPr="006F6094">
        <w:rPr>
          <w:rFonts w:ascii="Arial" w:hAnsi="Arial" w:cs="Arial"/>
        </w:rPr>
        <w:t xml:space="preserve">Se han definido cinco (5) grupos o perfiles de riesgo: </w:t>
      </w:r>
    </w:p>
    <w:p w14:paraId="6A139E9D" w14:textId="77777777" w:rsidR="00C165EA" w:rsidRPr="006F6094" w:rsidRDefault="00C165EA" w:rsidP="00683479">
      <w:pPr>
        <w:pStyle w:val="Textoindependiente"/>
        <w:tabs>
          <w:tab w:val="left" w:pos="360"/>
        </w:tabs>
        <w:spacing w:after="0" w:line="240" w:lineRule="auto"/>
        <w:jc w:val="both"/>
        <w:rPr>
          <w:rFonts w:ascii="Arial" w:hAnsi="Arial" w:cs="Arial"/>
        </w:rPr>
      </w:pPr>
    </w:p>
    <w:p w14:paraId="0268CF39" w14:textId="2C344566" w:rsidR="009B2E95" w:rsidRPr="006F6094" w:rsidRDefault="009B2E95" w:rsidP="00683479">
      <w:pPr>
        <w:pStyle w:val="Textoindependiente"/>
        <w:numPr>
          <w:ilvl w:val="0"/>
          <w:numId w:val="19"/>
        </w:numPr>
        <w:spacing w:after="0" w:line="240" w:lineRule="auto"/>
        <w:ind w:left="360"/>
        <w:jc w:val="both"/>
        <w:rPr>
          <w:rFonts w:ascii="Arial" w:hAnsi="Arial" w:cs="Arial"/>
        </w:rPr>
      </w:pPr>
      <w:r w:rsidRPr="006F6094">
        <w:rPr>
          <w:rFonts w:ascii="Arial" w:hAnsi="Arial" w:cs="Arial"/>
          <w:b/>
        </w:rPr>
        <w:t>PERFIL DE RIESGO MÍNIMO:</w:t>
      </w:r>
      <w:r w:rsidRPr="006F6094">
        <w:rPr>
          <w:rFonts w:ascii="Arial" w:hAnsi="Arial" w:cs="Arial"/>
        </w:rPr>
        <w:t xml:space="preserve"> Se incluyen entidades financieras que se consideran sanas y estables.  Sus problemas son catalogados como menores.  Son entidades resistentes a variaciones externas de orden económico o financiero.  Son entidades con nivel de riesgo de emisor, depositario y contraparte, prácticamente inexistente.</w:t>
      </w:r>
    </w:p>
    <w:p w14:paraId="4D1A60E6" w14:textId="37DA6160" w:rsidR="009B2E95" w:rsidRPr="006F6094" w:rsidRDefault="009B2E95" w:rsidP="00683479">
      <w:pPr>
        <w:pStyle w:val="Textoindependiente"/>
        <w:numPr>
          <w:ilvl w:val="0"/>
          <w:numId w:val="19"/>
        </w:numPr>
        <w:spacing w:after="0" w:line="240" w:lineRule="auto"/>
        <w:ind w:left="360"/>
        <w:jc w:val="both"/>
        <w:rPr>
          <w:rFonts w:ascii="Arial" w:hAnsi="Arial" w:cs="Arial"/>
        </w:rPr>
      </w:pPr>
      <w:r w:rsidRPr="006F6094">
        <w:rPr>
          <w:rFonts w:ascii="Arial" w:hAnsi="Arial" w:cs="Arial"/>
          <w:b/>
        </w:rPr>
        <w:t>PERFIL DE RIESGO BAJO:</w:t>
      </w:r>
      <w:r w:rsidRPr="006F6094">
        <w:rPr>
          <w:rFonts w:ascii="Arial" w:hAnsi="Arial" w:cs="Arial"/>
        </w:rPr>
        <w:t xml:space="preserve"> En esta categoría se agrupan entidades sanas, pero con algunas debilidades, que se estima pueden corregirse en el curso normal de la operación.  Son entidades con riesgos increméntales bastante bajos.</w:t>
      </w:r>
    </w:p>
    <w:p w14:paraId="22D93183" w14:textId="500BBA48" w:rsidR="009B2E95" w:rsidRPr="006F6094" w:rsidRDefault="009B2E95" w:rsidP="00683479">
      <w:pPr>
        <w:pStyle w:val="Textoindependiente"/>
        <w:numPr>
          <w:ilvl w:val="0"/>
          <w:numId w:val="19"/>
        </w:numPr>
        <w:spacing w:after="0" w:line="240" w:lineRule="auto"/>
        <w:ind w:left="360"/>
        <w:jc w:val="both"/>
        <w:rPr>
          <w:rFonts w:ascii="Arial" w:hAnsi="Arial" w:cs="Arial"/>
        </w:rPr>
      </w:pPr>
      <w:r w:rsidRPr="006F6094">
        <w:rPr>
          <w:rFonts w:ascii="Arial" w:hAnsi="Arial" w:cs="Arial"/>
          <w:b/>
        </w:rPr>
        <w:t>PERFIL DE RIESGO MEDIO:</w:t>
      </w:r>
      <w:r w:rsidRPr="006F6094">
        <w:rPr>
          <w:rFonts w:ascii="Arial" w:hAnsi="Arial" w:cs="Arial"/>
        </w:rPr>
        <w:t xml:space="preserve"> Las entidades ubicadas en este grupo, presentan problemas combinados entre debilidades financieras y fallas operativas que las hace vulnerables frente a cambios adversos en las condiciones de la economía.  No obstante, su posibilidad de quiebra es baja.</w:t>
      </w:r>
    </w:p>
    <w:p w14:paraId="074EB5C8" w14:textId="38FF4A96" w:rsidR="009B2E95" w:rsidRPr="006F6094" w:rsidRDefault="009B2E95" w:rsidP="00683479">
      <w:pPr>
        <w:pStyle w:val="Textoindependiente"/>
        <w:numPr>
          <w:ilvl w:val="0"/>
          <w:numId w:val="19"/>
        </w:numPr>
        <w:spacing w:after="0" w:line="240" w:lineRule="auto"/>
        <w:ind w:left="360"/>
        <w:jc w:val="both"/>
        <w:rPr>
          <w:rFonts w:ascii="Arial" w:hAnsi="Arial" w:cs="Arial"/>
        </w:rPr>
      </w:pPr>
      <w:r w:rsidRPr="006F6094">
        <w:rPr>
          <w:rFonts w:ascii="Arial" w:hAnsi="Arial" w:cs="Arial"/>
          <w:b/>
        </w:rPr>
        <w:t>PERFIL DE RIESGO ALTO:</w:t>
      </w:r>
      <w:r w:rsidRPr="006F6094">
        <w:rPr>
          <w:rFonts w:ascii="Arial" w:hAnsi="Arial" w:cs="Arial"/>
        </w:rPr>
        <w:t xml:space="preserve"> Corresponde a un grupo con entidades que reflejan debilidades financieras y operativas y condiciones poco seguras, las cuales las colocan en una posición de alto potencial de quiebra.</w:t>
      </w:r>
    </w:p>
    <w:p w14:paraId="34143CAE" w14:textId="09A859D7" w:rsidR="009B2E95" w:rsidRPr="006F6094" w:rsidRDefault="009B2E95" w:rsidP="00683479">
      <w:pPr>
        <w:pStyle w:val="Textoindependiente"/>
        <w:numPr>
          <w:ilvl w:val="0"/>
          <w:numId w:val="19"/>
        </w:numPr>
        <w:spacing w:after="0" w:line="240" w:lineRule="auto"/>
        <w:ind w:left="360"/>
        <w:jc w:val="both"/>
        <w:rPr>
          <w:rFonts w:ascii="Arial" w:hAnsi="Arial" w:cs="Arial"/>
        </w:rPr>
      </w:pPr>
      <w:r w:rsidRPr="006F6094">
        <w:rPr>
          <w:rFonts w:ascii="Arial" w:hAnsi="Arial" w:cs="Arial"/>
          <w:b/>
        </w:rPr>
        <w:t>PERFIL DE RIESGO MUY ALTO:</w:t>
      </w:r>
      <w:r w:rsidRPr="006F6094">
        <w:rPr>
          <w:rFonts w:ascii="Arial" w:hAnsi="Arial" w:cs="Arial"/>
        </w:rPr>
        <w:t xml:space="preserve"> Dentro de este grupo, las entidades reflejan debilidades financieras críticas.  Para este grupo se presentan altas probabilidades de quiebra o liquidación.  En esta categoría se considera un grado no adecuado para realizar operaciones de tesorería o de inversión.</w:t>
      </w:r>
    </w:p>
    <w:p w14:paraId="1A8B3233" w14:textId="77777777" w:rsidR="00152F5E" w:rsidRPr="006F6094" w:rsidRDefault="00152F5E" w:rsidP="00683479">
      <w:pPr>
        <w:pStyle w:val="Textoindependiente"/>
        <w:spacing w:after="0" w:line="240" w:lineRule="auto"/>
        <w:ind w:left="360"/>
        <w:jc w:val="both"/>
        <w:rPr>
          <w:rFonts w:ascii="Arial" w:hAnsi="Arial" w:cs="Arial"/>
        </w:rPr>
      </w:pPr>
    </w:p>
    <w:p w14:paraId="54F51766" w14:textId="0DB8CB13" w:rsidR="00792634" w:rsidRPr="006F6094" w:rsidRDefault="009B2E95" w:rsidP="00683479">
      <w:pPr>
        <w:spacing w:after="0" w:line="240" w:lineRule="auto"/>
        <w:jc w:val="both"/>
        <w:rPr>
          <w:rFonts w:ascii="Arial" w:hAnsi="Arial" w:cs="Arial"/>
        </w:rPr>
      </w:pPr>
      <w:r w:rsidRPr="006F6094">
        <w:rPr>
          <w:rFonts w:ascii="Arial" w:hAnsi="Arial" w:cs="Arial"/>
        </w:rPr>
        <w:t xml:space="preserve">Vale la pena señalar que entidades que obtengan un puntaje mayor a 4, se considera de Mínimo Riesgo, lo cual refleja que todos los factores evaluados, capital, activos, administración, ganancias y liquidez, presentan un buen desempeño. </w:t>
      </w:r>
    </w:p>
    <w:p w14:paraId="5C08C364" w14:textId="77777777" w:rsidR="00152F5E" w:rsidRPr="006F6094" w:rsidRDefault="00152F5E" w:rsidP="00683479">
      <w:pPr>
        <w:spacing w:after="0" w:line="240" w:lineRule="auto"/>
        <w:jc w:val="both"/>
        <w:rPr>
          <w:rFonts w:ascii="Arial" w:hAnsi="Arial" w:cs="Arial"/>
        </w:rPr>
      </w:pPr>
    </w:p>
    <w:p w14:paraId="705951CF" w14:textId="1967EF61" w:rsidR="00792634" w:rsidRPr="006F6094" w:rsidRDefault="00792634" w:rsidP="00683479">
      <w:pPr>
        <w:pStyle w:val="Ttulo3"/>
        <w:spacing w:before="0" w:after="0" w:line="240" w:lineRule="auto"/>
        <w:jc w:val="both"/>
        <w:rPr>
          <w:rFonts w:ascii="Arial" w:hAnsi="Arial" w:cs="Arial"/>
          <w:bCs w:val="0"/>
          <w:sz w:val="22"/>
          <w:szCs w:val="22"/>
          <w:lang w:val="es-ES"/>
        </w:rPr>
      </w:pPr>
      <w:bookmarkStart w:id="15" w:name="_Toc108966252"/>
      <w:r w:rsidRPr="006F6094">
        <w:rPr>
          <w:rFonts w:ascii="Arial" w:hAnsi="Arial" w:cs="Arial"/>
          <w:bCs w:val="0"/>
          <w:sz w:val="22"/>
          <w:szCs w:val="22"/>
          <w:lang w:val="es-ES"/>
        </w:rPr>
        <w:t>ESTABLECER ESCALA DE CALIFICACIÓN O SCORING</w:t>
      </w:r>
      <w:bookmarkEnd w:id="15"/>
      <w:r w:rsidRPr="006F6094">
        <w:rPr>
          <w:rFonts w:ascii="Arial" w:hAnsi="Arial" w:cs="Arial"/>
          <w:bCs w:val="0"/>
          <w:sz w:val="22"/>
          <w:szCs w:val="22"/>
          <w:lang w:val="es-ES"/>
        </w:rPr>
        <w:t xml:space="preserve"> </w:t>
      </w:r>
    </w:p>
    <w:p w14:paraId="43572837" w14:textId="77777777" w:rsidR="00834802" w:rsidRPr="006F6094" w:rsidRDefault="00834802" w:rsidP="00683479">
      <w:pPr>
        <w:spacing w:after="0" w:line="240" w:lineRule="auto"/>
        <w:rPr>
          <w:rFonts w:ascii="Arial" w:hAnsi="Arial" w:cs="Arial"/>
          <w:lang w:val="es-ES"/>
        </w:rPr>
      </w:pPr>
    </w:p>
    <w:p w14:paraId="185E2FD3" w14:textId="055349CF" w:rsidR="009031D1" w:rsidRPr="006F6094" w:rsidRDefault="00792634" w:rsidP="00683479">
      <w:pPr>
        <w:spacing w:after="0" w:line="240" w:lineRule="auto"/>
        <w:jc w:val="both"/>
        <w:rPr>
          <w:rFonts w:ascii="Arial" w:eastAsia="Arial" w:hAnsi="Arial" w:cs="Arial"/>
          <w:lang w:eastAsia="es-ES" w:bidi="es-ES"/>
        </w:rPr>
      </w:pPr>
      <w:r w:rsidRPr="006F6094">
        <w:rPr>
          <w:rFonts w:ascii="Arial" w:hAnsi="Arial" w:cs="Arial"/>
        </w:rPr>
        <w:t>El puntaje o scoring está definido en una escala cardinal de 1 a 5</w:t>
      </w:r>
      <w:r w:rsidRPr="006F6094">
        <w:rPr>
          <w:rFonts w:ascii="Arial" w:eastAsia="Arial" w:hAnsi="Arial" w:cs="Arial"/>
          <w:lang w:eastAsia="es-ES" w:bidi="es-ES"/>
        </w:rPr>
        <w:t>, siendo 1 la mínima calificación y 5 la máxima. Una vez determinado el puntaje global de cada emisor, depositario y contraparte, se emplean los criterios de asignación del nivel o perfil de riesgo señalados en el cuadro siguiente:</w:t>
      </w:r>
    </w:p>
    <w:p w14:paraId="67433CA0" w14:textId="77777777" w:rsidR="00C165EA" w:rsidRPr="006F6094" w:rsidRDefault="00C165EA" w:rsidP="00683479">
      <w:pPr>
        <w:spacing w:after="0" w:line="240" w:lineRule="auto"/>
        <w:jc w:val="both"/>
        <w:rPr>
          <w:rFonts w:ascii="Arial" w:eastAsia="Arial" w:hAnsi="Arial" w:cs="Arial"/>
          <w:lang w:eastAsia="es-ES" w:bidi="es-ES"/>
        </w:rPr>
      </w:pPr>
    </w:p>
    <w:tbl>
      <w:tblPr>
        <w:tblW w:w="4420" w:type="dxa"/>
        <w:jc w:val="center"/>
        <w:tblCellMar>
          <w:left w:w="70" w:type="dxa"/>
          <w:right w:w="70" w:type="dxa"/>
        </w:tblCellMar>
        <w:tblLook w:val="04A0" w:firstRow="1" w:lastRow="0" w:firstColumn="1" w:lastColumn="0" w:noHBand="0" w:noVBand="1"/>
      </w:tblPr>
      <w:tblGrid>
        <w:gridCol w:w="3180"/>
        <w:gridCol w:w="1338"/>
      </w:tblGrid>
      <w:tr w:rsidR="00D00CC9" w:rsidRPr="006F6094" w14:paraId="4AAB2CC8" w14:textId="77777777" w:rsidTr="000B1B46">
        <w:trPr>
          <w:trHeight w:val="600"/>
          <w:jc w:val="center"/>
        </w:trPr>
        <w:tc>
          <w:tcPr>
            <w:tcW w:w="3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5D668D" w14:textId="77777777" w:rsidR="00792634" w:rsidRPr="006F6094" w:rsidRDefault="00792634" w:rsidP="00683479">
            <w:pPr>
              <w:spacing w:after="0" w:line="240" w:lineRule="auto"/>
              <w:jc w:val="center"/>
              <w:rPr>
                <w:rFonts w:ascii="Arial" w:hAnsi="Arial" w:cs="Arial"/>
                <w:b/>
                <w:bCs/>
                <w:lang w:eastAsia="es-CO"/>
              </w:rPr>
            </w:pPr>
            <w:r w:rsidRPr="006F6094">
              <w:rPr>
                <w:rFonts w:ascii="Arial" w:hAnsi="Arial" w:cs="Arial"/>
                <w:b/>
                <w:bCs/>
                <w:lang w:eastAsia="es-CO"/>
              </w:rPr>
              <w:t>NIVELES DE RIESGO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A341234" w14:textId="77777777" w:rsidR="00792634" w:rsidRPr="006F6094" w:rsidRDefault="00792634" w:rsidP="00683479">
            <w:pPr>
              <w:spacing w:after="0" w:line="240" w:lineRule="auto"/>
              <w:jc w:val="center"/>
              <w:rPr>
                <w:rFonts w:ascii="Arial" w:hAnsi="Arial" w:cs="Arial"/>
                <w:b/>
                <w:bCs/>
                <w:lang w:eastAsia="es-CO"/>
              </w:rPr>
            </w:pPr>
            <w:r w:rsidRPr="006F6094">
              <w:rPr>
                <w:rFonts w:ascii="Arial" w:hAnsi="Arial" w:cs="Arial"/>
                <w:b/>
                <w:bCs/>
                <w:lang w:eastAsia="es-CO"/>
              </w:rPr>
              <w:t>CRITERIOS</w:t>
            </w:r>
          </w:p>
        </w:tc>
      </w:tr>
      <w:tr w:rsidR="00D00CC9" w:rsidRPr="006F6094" w14:paraId="7A6817FA" w14:textId="77777777" w:rsidTr="003B4DEF">
        <w:trPr>
          <w:trHeight w:val="300"/>
          <w:jc w:val="center"/>
        </w:trPr>
        <w:tc>
          <w:tcPr>
            <w:tcW w:w="3180" w:type="dxa"/>
            <w:tcBorders>
              <w:top w:val="nil"/>
              <w:left w:val="single" w:sz="4" w:space="0" w:color="auto"/>
              <w:bottom w:val="single" w:sz="4" w:space="0" w:color="auto"/>
              <w:right w:val="single" w:sz="4" w:space="0" w:color="auto"/>
            </w:tcBorders>
            <w:shd w:val="clear" w:color="auto" w:fill="C00000"/>
            <w:noWrap/>
            <w:vAlign w:val="bottom"/>
            <w:hideMark/>
          </w:tcPr>
          <w:p w14:paraId="23E1D0F8" w14:textId="77777777" w:rsidR="00792634" w:rsidRPr="006F6094" w:rsidRDefault="00792634" w:rsidP="00683479">
            <w:pPr>
              <w:spacing w:after="0" w:line="240" w:lineRule="auto"/>
              <w:rPr>
                <w:rFonts w:ascii="Arial" w:hAnsi="Arial" w:cs="Arial"/>
                <w:b/>
                <w:lang w:eastAsia="es-CO"/>
              </w:rPr>
            </w:pPr>
            <w:r w:rsidRPr="006F6094">
              <w:rPr>
                <w:rFonts w:ascii="Arial" w:hAnsi="Arial" w:cs="Arial"/>
                <w:b/>
                <w:lang w:eastAsia="es-CO"/>
              </w:rPr>
              <w:t>RIESGO MUY ALTO</w:t>
            </w:r>
          </w:p>
        </w:tc>
        <w:tc>
          <w:tcPr>
            <w:tcW w:w="1240" w:type="dxa"/>
            <w:tcBorders>
              <w:top w:val="nil"/>
              <w:left w:val="nil"/>
              <w:bottom w:val="single" w:sz="4" w:space="0" w:color="auto"/>
              <w:right w:val="single" w:sz="4" w:space="0" w:color="auto"/>
            </w:tcBorders>
            <w:shd w:val="clear" w:color="auto" w:fill="auto"/>
            <w:noWrap/>
            <w:vAlign w:val="bottom"/>
            <w:hideMark/>
          </w:tcPr>
          <w:p w14:paraId="291A8B8B" w14:textId="77777777" w:rsidR="00792634" w:rsidRPr="006F6094" w:rsidRDefault="00792634" w:rsidP="00683479">
            <w:pPr>
              <w:spacing w:after="0" w:line="240" w:lineRule="auto"/>
              <w:jc w:val="center"/>
              <w:rPr>
                <w:rFonts w:ascii="Arial" w:hAnsi="Arial" w:cs="Arial"/>
                <w:lang w:eastAsia="es-CO"/>
              </w:rPr>
            </w:pPr>
            <w:r w:rsidRPr="006F6094">
              <w:rPr>
                <w:rFonts w:ascii="Arial" w:hAnsi="Arial" w:cs="Arial"/>
                <w:lang w:eastAsia="es-CO"/>
              </w:rPr>
              <w:t>&lt;1</w:t>
            </w:r>
          </w:p>
        </w:tc>
      </w:tr>
      <w:tr w:rsidR="00D00CC9" w:rsidRPr="006F6094" w14:paraId="5790E45C" w14:textId="77777777" w:rsidTr="003B4DEF">
        <w:trPr>
          <w:trHeight w:val="300"/>
          <w:jc w:val="center"/>
        </w:trPr>
        <w:tc>
          <w:tcPr>
            <w:tcW w:w="3180" w:type="dxa"/>
            <w:tcBorders>
              <w:top w:val="nil"/>
              <w:left w:val="single" w:sz="4" w:space="0" w:color="auto"/>
              <w:bottom w:val="single" w:sz="4" w:space="0" w:color="auto"/>
              <w:right w:val="single" w:sz="4" w:space="0" w:color="auto"/>
            </w:tcBorders>
            <w:shd w:val="clear" w:color="auto" w:fill="FF0000"/>
            <w:noWrap/>
            <w:vAlign w:val="bottom"/>
            <w:hideMark/>
          </w:tcPr>
          <w:p w14:paraId="066CD2C7" w14:textId="77777777" w:rsidR="00792634" w:rsidRPr="006F6094" w:rsidRDefault="00792634" w:rsidP="00683479">
            <w:pPr>
              <w:spacing w:after="0" w:line="240" w:lineRule="auto"/>
              <w:rPr>
                <w:rFonts w:ascii="Arial" w:hAnsi="Arial" w:cs="Arial"/>
                <w:b/>
                <w:lang w:eastAsia="es-CO"/>
              </w:rPr>
            </w:pPr>
            <w:r w:rsidRPr="006F6094">
              <w:rPr>
                <w:rFonts w:ascii="Arial" w:hAnsi="Arial" w:cs="Arial"/>
                <w:b/>
                <w:lang w:eastAsia="es-CO"/>
              </w:rPr>
              <w:t>RIESGO ALTO</w:t>
            </w:r>
          </w:p>
        </w:tc>
        <w:tc>
          <w:tcPr>
            <w:tcW w:w="1240" w:type="dxa"/>
            <w:tcBorders>
              <w:top w:val="nil"/>
              <w:left w:val="nil"/>
              <w:bottom w:val="single" w:sz="4" w:space="0" w:color="auto"/>
              <w:right w:val="single" w:sz="4" w:space="0" w:color="auto"/>
            </w:tcBorders>
            <w:shd w:val="clear" w:color="auto" w:fill="auto"/>
            <w:noWrap/>
            <w:vAlign w:val="bottom"/>
            <w:hideMark/>
          </w:tcPr>
          <w:p w14:paraId="17DEC0A3" w14:textId="77777777" w:rsidR="00792634" w:rsidRPr="006F6094" w:rsidRDefault="00792634" w:rsidP="00683479">
            <w:pPr>
              <w:spacing w:after="0" w:line="240" w:lineRule="auto"/>
              <w:jc w:val="center"/>
              <w:rPr>
                <w:rFonts w:ascii="Arial" w:hAnsi="Arial" w:cs="Arial"/>
                <w:lang w:eastAsia="es-CO"/>
              </w:rPr>
            </w:pPr>
            <w:r w:rsidRPr="006F6094">
              <w:rPr>
                <w:rFonts w:ascii="Arial" w:hAnsi="Arial" w:cs="Arial"/>
                <w:lang w:eastAsia="es-CO"/>
              </w:rPr>
              <w:t>&gt;= 1 &lt; 2</w:t>
            </w:r>
          </w:p>
        </w:tc>
      </w:tr>
      <w:tr w:rsidR="00D00CC9" w:rsidRPr="006F6094" w14:paraId="5B0A4124" w14:textId="77777777" w:rsidTr="003B4DEF">
        <w:trPr>
          <w:trHeight w:val="300"/>
          <w:jc w:val="center"/>
        </w:trPr>
        <w:tc>
          <w:tcPr>
            <w:tcW w:w="3180" w:type="dxa"/>
            <w:tcBorders>
              <w:top w:val="nil"/>
              <w:left w:val="single" w:sz="4" w:space="0" w:color="auto"/>
              <w:bottom w:val="single" w:sz="4" w:space="0" w:color="auto"/>
              <w:right w:val="single" w:sz="4" w:space="0" w:color="auto"/>
            </w:tcBorders>
            <w:shd w:val="clear" w:color="auto" w:fill="FFC000"/>
            <w:noWrap/>
            <w:vAlign w:val="bottom"/>
            <w:hideMark/>
          </w:tcPr>
          <w:p w14:paraId="6C9591A2" w14:textId="77777777" w:rsidR="00792634" w:rsidRPr="006F6094" w:rsidRDefault="00792634" w:rsidP="00683479">
            <w:pPr>
              <w:spacing w:after="0" w:line="240" w:lineRule="auto"/>
              <w:rPr>
                <w:rFonts w:ascii="Arial" w:hAnsi="Arial" w:cs="Arial"/>
                <w:b/>
                <w:lang w:eastAsia="es-CO"/>
              </w:rPr>
            </w:pPr>
            <w:r w:rsidRPr="006F6094">
              <w:rPr>
                <w:rFonts w:ascii="Arial" w:hAnsi="Arial" w:cs="Arial"/>
                <w:b/>
                <w:lang w:eastAsia="es-CO"/>
              </w:rPr>
              <w:t>RIESGO MEDIO</w:t>
            </w:r>
          </w:p>
        </w:tc>
        <w:tc>
          <w:tcPr>
            <w:tcW w:w="1240" w:type="dxa"/>
            <w:tcBorders>
              <w:top w:val="nil"/>
              <w:left w:val="nil"/>
              <w:bottom w:val="single" w:sz="4" w:space="0" w:color="auto"/>
              <w:right w:val="single" w:sz="4" w:space="0" w:color="auto"/>
            </w:tcBorders>
            <w:shd w:val="clear" w:color="auto" w:fill="auto"/>
            <w:noWrap/>
            <w:vAlign w:val="bottom"/>
            <w:hideMark/>
          </w:tcPr>
          <w:p w14:paraId="4100E97D" w14:textId="77777777" w:rsidR="00792634" w:rsidRPr="006F6094" w:rsidRDefault="00792634" w:rsidP="00683479">
            <w:pPr>
              <w:spacing w:after="0" w:line="240" w:lineRule="auto"/>
              <w:jc w:val="center"/>
              <w:rPr>
                <w:rFonts w:ascii="Arial" w:hAnsi="Arial" w:cs="Arial"/>
                <w:lang w:eastAsia="es-CO"/>
              </w:rPr>
            </w:pPr>
            <w:r w:rsidRPr="006F6094">
              <w:rPr>
                <w:rFonts w:ascii="Arial" w:hAnsi="Arial" w:cs="Arial"/>
                <w:lang w:eastAsia="es-CO"/>
              </w:rPr>
              <w:t>&gt;= 2 &lt; 3</w:t>
            </w:r>
          </w:p>
        </w:tc>
      </w:tr>
      <w:tr w:rsidR="00D00CC9" w:rsidRPr="006F6094" w14:paraId="4D0F3181" w14:textId="77777777" w:rsidTr="003B4DEF">
        <w:trPr>
          <w:trHeight w:val="300"/>
          <w:jc w:val="center"/>
        </w:trPr>
        <w:tc>
          <w:tcPr>
            <w:tcW w:w="3180" w:type="dxa"/>
            <w:tcBorders>
              <w:top w:val="nil"/>
              <w:left w:val="single" w:sz="4" w:space="0" w:color="auto"/>
              <w:bottom w:val="single" w:sz="4" w:space="0" w:color="auto"/>
              <w:right w:val="single" w:sz="4" w:space="0" w:color="auto"/>
            </w:tcBorders>
            <w:shd w:val="clear" w:color="auto" w:fill="FFFF00"/>
            <w:noWrap/>
            <w:vAlign w:val="bottom"/>
            <w:hideMark/>
          </w:tcPr>
          <w:p w14:paraId="3371EF06" w14:textId="77777777" w:rsidR="00792634" w:rsidRPr="006F6094" w:rsidRDefault="00792634" w:rsidP="00683479">
            <w:pPr>
              <w:spacing w:after="0" w:line="240" w:lineRule="auto"/>
              <w:rPr>
                <w:rFonts w:ascii="Arial" w:hAnsi="Arial" w:cs="Arial"/>
                <w:b/>
                <w:lang w:eastAsia="es-CO"/>
              </w:rPr>
            </w:pPr>
            <w:r w:rsidRPr="006F6094">
              <w:rPr>
                <w:rFonts w:ascii="Arial" w:hAnsi="Arial" w:cs="Arial"/>
                <w:b/>
                <w:lang w:eastAsia="es-CO"/>
              </w:rPr>
              <w:t>RIESGO BAJO</w:t>
            </w:r>
          </w:p>
        </w:tc>
        <w:tc>
          <w:tcPr>
            <w:tcW w:w="1240" w:type="dxa"/>
            <w:tcBorders>
              <w:top w:val="nil"/>
              <w:left w:val="nil"/>
              <w:bottom w:val="single" w:sz="4" w:space="0" w:color="auto"/>
              <w:right w:val="single" w:sz="4" w:space="0" w:color="auto"/>
            </w:tcBorders>
            <w:shd w:val="clear" w:color="auto" w:fill="auto"/>
            <w:noWrap/>
            <w:vAlign w:val="bottom"/>
            <w:hideMark/>
          </w:tcPr>
          <w:p w14:paraId="34EB9711" w14:textId="77777777" w:rsidR="00792634" w:rsidRPr="006F6094" w:rsidRDefault="00792634" w:rsidP="00683479">
            <w:pPr>
              <w:spacing w:after="0" w:line="240" w:lineRule="auto"/>
              <w:jc w:val="center"/>
              <w:rPr>
                <w:rFonts w:ascii="Arial" w:hAnsi="Arial" w:cs="Arial"/>
                <w:lang w:eastAsia="es-CO"/>
              </w:rPr>
            </w:pPr>
            <w:r w:rsidRPr="006F6094">
              <w:rPr>
                <w:rFonts w:ascii="Arial" w:hAnsi="Arial" w:cs="Arial"/>
                <w:lang w:eastAsia="es-CO"/>
              </w:rPr>
              <w:t>&gt;= 3 &lt; 4</w:t>
            </w:r>
          </w:p>
        </w:tc>
      </w:tr>
      <w:tr w:rsidR="00D00CC9" w:rsidRPr="006F6094" w14:paraId="5DDBC6B4" w14:textId="77777777" w:rsidTr="003B4DEF">
        <w:trPr>
          <w:trHeight w:val="300"/>
          <w:jc w:val="center"/>
        </w:trPr>
        <w:tc>
          <w:tcPr>
            <w:tcW w:w="3180" w:type="dxa"/>
            <w:tcBorders>
              <w:top w:val="nil"/>
              <w:left w:val="single" w:sz="4" w:space="0" w:color="auto"/>
              <w:bottom w:val="single" w:sz="4" w:space="0" w:color="auto"/>
              <w:right w:val="single" w:sz="4" w:space="0" w:color="auto"/>
            </w:tcBorders>
            <w:shd w:val="clear" w:color="auto" w:fill="92D050"/>
            <w:noWrap/>
            <w:vAlign w:val="bottom"/>
            <w:hideMark/>
          </w:tcPr>
          <w:p w14:paraId="5AEB02E5" w14:textId="77777777" w:rsidR="00792634" w:rsidRPr="006F6094" w:rsidRDefault="003B4DEF" w:rsidP="00683479">
            <w:pPr>
              <w:spacing w:after="0" w:line="240" w:lineRule="auto"/>
              <w:rPr>
                <w:rFonts w:ascii="Arial" w:hAnsi="Arial" w:cs="Arial"/>
                <w:b/>
                <w:lang w:eastAsia="es-CO"/>
              </w:rPr>
            </w:pPr>
            <w:r w:rsidRPr="006F6094">
              <w:rPr>
                <w:rFonts w:ascii="Arial" w:hAnsi="Arial" w:cs="Arial"/>
                <w:b/>
                <w:lang w:eastAsia="es-CO"/>
              </w:rPr>
              <w:t>RIESGO MÍ</w:t>
            </w:r>
            <w:r w:rsidR="00792634" w:rsidRPr="006F6094">
              <w:rPr>
                <w:rFonts w:ascii="Arial" w:hAnsi="Arial" w:cs="Arial"/>
                <w:b/>
                <w:lang w:eastAsia="es-CO"/>
              </w:rPr>
              <w:t xml:space="preserve">NIMO </w:t>
            </w:r>
          </w:p>
        </w:tc>
        <w:tc>
          <w:tcPr>
            <w:tcW w:w="1240" w:type="dxa"/>
            <w:tcBorders>
              <w:top w:val="nil"/>
              <w:left w:val="nil"/>
              <w:bottom w:val="single" w:sz="4" w:space="0" w:color="auto"/>
              <w:right w:val="single" w:sz="4" w:space="0" w:color="auto"/>
            </w:tcBorders>
            <w:shd w:val="clear" w:color="auto" w:fill="auto"/>
            <w:noWrap/>
            <w:vAlign w:val="bottom"/>
            <w:hideMark/>
          </w:tcPr>
          <w:p w14:paraId="04DAEDA7" w14:textId="77777777" w:rsidR="00792634" w:rsidRPr="006F6094" w:rsidRDefault="00792634" w:rsidP="00683479">
            <w:pPr>
              <w:spacing w:after="0" w:line="240" w:lineRule="auto"/>
              <w:jc w:val="center"/>
              <w:rPr>
                <w:rFonts w:ascii="Arial" w:hAnsi="Arial" w:cs="Arial"/>
                <w:lang w:eastAsia="es-CO"/>
              </w:rPr>
            </w:pPr>
            <w:r w:rsidRPr="006F6094">
              <w:rPr>
                <w:rFonts w:ascii="Arial" w:hAnsi="Arial" w:cs="Arial"/>
                <w:lang w:eastAsia="es-CO"/>
              </w:rPr>
              <w:t>&gt;=4</w:t>
            </w:r>
          </w:p>
        </w:tc>
      </w:tr>
    </w:tbl>
    <w:p w14:paraId="5362D995" w14:textId="5D5AA447" w:rsidR="00792634" w:rsidRPr="006F6094" w:rsidRDefault="007F111D" w:rsidP="00683479">
      <w:pPr>
        <w:pStyle w:val="Ttulo3"/>
        <w:spacing w:before="0" w:after="0" w:line="240" w:lineRule="auto"/>
        <w:jc w:val="both"/>
        <w:rPr>
          <w:rFonts w:ascii="Arial" w:hAnsi="Arial" w:cs="Arial"/>
          <w:bCs w:val="0"/>
          <w:sz w:val="22"/>
          <w:szCs w:val="22"/>
          <w:lang w:val="es-ES"/>
        </w:rPr>
      </w:pPr>
      <w:bookmarkStart w:id="16" w:name="_Toc108966253"/>
      <w:r w:rsidRPr="006F6094">
        <w:rPr>
          <w:rFonts w:ascii="Arial" w:hAnsi="Arial" w:cs="Arial"/>
          <w:bCs w:val="0"/>
          <w:sz w:val="22"/>
          <w:szCs w:val="22"/>
          <w:lang w:val="es-ES"/>
        </w:rPr>
        <w:lastRenderedPageBreak/>
        <w:t>DEFINIR MODELO DE SCORING</w:t>
      </w:r>
      <w:bookmarkEnd w:id="16"/>
      <w:r w:rsidRPr="006F6094">
        <w:rPr>
          <w:rFonts w:ascii="Arial" w:hAnsi="Arial" w:cs="Arial"/>
          <w:bCs w:val="0"/>
          <w:sz w:val="22"/>
          <w:szCs w:val="22"/>
          <w:lang w:val="es-ES"/>
        </w:rPr>
        <w:t xml:space="preserve"> </w:t>
      </w:r>
    </w:p>
    <w:p w14:paraId="1241FC14" w14:textId="77777777" w:rsidR="007F111D" w:rsidRPr="006F6094" w:rsidRDefault="007F111D" w:rsidP="00683479">
      <w:pPr>
        <w:pStyle w:val="Sangradetextonormal"/>
        <w:spacing w:after="0"/>
        <w:ind w:left="0"/>
        <w:rPr>
          <w:rFonts w:cs="Arial"/>
          <w:sz w:val="22"/>
        </w:rPr>
      </w:pPr>
    </w:p>
    <w:p w14:paraId="25ABD2A1" w14:textId="44EB29D7" w:rsidR="00834802" w:rsidRPr="006F6094" w:rsidRDefault="007F111D" w:rsidP="00683479">
      <w:pPr>
        <w:pStyle w:val="Sangradetextonormal"/>
        <w:spacing w:after="0"/>
        <w:ind w:left="0"/>
        <w:rPr>
          <w:rFonts w:cs="Arial"/>
          <w:sz w:val="22"/>
        </w:rPr>
      </w:pPr>
      <w:r w:rsidRPr="006F6094">
        <w:rPr>
          <w:rFonts w:cs="Arial"/>
          <w:sz w:val="22"/>
        </w:rPr>
        <w:t xml:space="preserve">El scoring o puntaje empleado corresponde a una metodología de quintiles. En esta metodología se inicia con el ordenamiento de los datos de cada indicador de mayor a menor o al contrario según sea el caso. Por ejemplo, para los indicadores de rentabilidad, de estructura de balance o de cubrimiento se debe ordenar de mayor a menor y para el indicador de cartera vencida de menor a mayor. Una vez realizado el ordenamiento la tabla conformada por el nombre de la entidad y el indicador se divide en cinco partes iguales. Este método permite asegurar que la diversidad de indicadores de las entidades analizadas no distorsione los puntajes asignados. Para determinar las escalas de calificación, se realizaron varias pruebas para determinar cuál es la más adecuada teniendo en cuenta las características del mercado colombiano y las pruebas de consistencia estadística. </w:t>
      </w:r>
    </w:p>
    <w:p w14:paraId="73227FEC" w14:textId="77777777" w:rsidR="00152F5E" w:rsidRPr="006F6094" w:rsidRDefault="00152F5E" w:rsidP="00683479">
      <w:pPr>
        <w:pStyle w:val="Sangradetextonormal"/>
        <w:spacing w:after="0"/>
        <w:ind w:left="0"/>
        <w:rPr>
          <w:rFonts w:cs="Arial"/>
          <w:sz w:val="22"/>
        </w:rPr>
      </w:pPr>
    </w:p>
    <w:p w14:paraId="3676C935" w14:textId="77777777" w:rsidR="007F111D" w:rsidRPr="006F6094" w:rsidRDefault="00256E49" w:rsidP="00683479">
      <w:pPr>
        <w:pStyle w:val="Ttulo3"/>
        <w:spacing w:before="0" w:after="0" w:line="240" w:lineRule="auto"/>
        <w:jc w:val="both"/>
        <w:rPr>
          <w:rFonts w:ascii="Arial" w:hAnsi="Arial" w:cs="Arial"/>
          <w:bCs w:val="0"/>
          <w:sz w:val="22"/>
          <w:szCs w:val="22"/>
        </w:rPr>
      </w:pPr>
      <w:bookmarkStart w:id="17" w:name="_Toc108966254"/>
      <w:r w:rsidRPr="006F6094">
        <w:rPr>
          <w:rFonts w:ascii="Arial" w:hAnsi="Arial" w:cs="Arial"/>
          <w:bCs w:val="0"/>
          <w:sz w:val="22"/>
          <w:szCs w:val="22"/>
        </w:rPr>
        <w:t>APLICAR MODELO DE SCORING PARA CADA INDICADOR FINANCIERO SELECCIONADO</w:t>
      </w:r>
      <w:bookmarkEnd w:id="17"/>
      <w:r w:rsidRPr="006F6094">
        <w:rPr>
          <w:rFonts w:ascii="Arial" w:hAnsi="Arial" w:cs="Arial"/>
          <w:bCs w:val="0"/>
          <w:sz w:val="22"/>
          <w:szCs w:val="22"/>
        </w:rPr>
        <w:t xml:space="preserve"> </w:t>
      </w:r>
    </w:p>
    <w:p w14:paraId="0611C442" w14:textId="77777777" w:rsidR="00923277" w:rsidRPr="006F6094" w:rsidRDefault="00923277" w:rsidP="00683479">
      <w:pPr>
        <w:pStyle w:val="Textoindependiente"/>
        <w:spacing w:after="0" w:line="240" w:lineRule="auto"/>
        <w:jc w:val="both"/>
        <w:rPr>
          <w:rFonts w:ascii="Arial" w:hAnsi="Arial" w:cs="Arial"/>
        </w:rPr>
      </w:pPr>
    </w:p>
    <w:p w14:paraId="6AE54CFE" w14:textId="73731DBC" w:rsidR="00923277" w:rsidRPr="006F6094" w:rsidRDefault="00923277" w:rsidP="00683479">
      <w:pPr>
        <w:pStyle w:val="Textoindependiente"/>
        <w:spacing w:after="0" w:line="240" w:lineRule="auto"/>
        <w:jc w:val="both"/>
        <w:rPr>
          <w:rFonts w:ascii="Arial" w:hAnsi="Arial" w:cs="Arial"/>
        </w:rPr>
      </w:pPr>
      <w:r w:rsidRPr="006F6094">
        <w:rPr>
          <w:rFonts w:ascii="Arial" w:hAnsi="Arial" w:cs="Arial"/>
        </w:rPr>
        <w:t xml:space="preserve">Luego del proceso descrito </w:t>
      </w:r>
      <w:r w:rsidR="00C165EA" w:rsidRPr="006F6094">
        <w:rPr>
          <w:rFonts w:ascii="Arial" w:hAnsi="Arial" w:cs="Arial"/>
        </w:rPr>
        <w:t>anteriormente</w:t>
      </w:r>
      <w:r w:rsidRPr="006F6094">
        <w:rPr>
          <w:rFonts w:ascii="Arial" w:hAnsi="Arial" w:cs="Arial"/>
        </w:rPr>
        <w:t>, a cada indicador financiero se procede a asignarle un puntaje, de 1 a 5, iniciando con 5 para el primer quintil</w:t>
      </w:r>
      <w:r w:rsidR="00834802" w:rsidRPr="006F6094">
        <w:rPr>
          <w:rFonts w:ascii="Arial" w:hAnsi="Arial" w:cs="Arial"/>
        </w:rPr>
        <w:t>.</w:t>
      </w:r>
    </w:p>
    <w:p w14:paraId="6B61E83C" w14:textId="77777777" w:rsidR="00C165EA" w:rsidRPr="006F6094" w:rsidRDefault="00C165EA" w:rsidP="00683479">
      <w:pPr>
        <w:pStyle w:val="Textoindependiente"/>
        <w:spacing w:after="0" w:line="240" w:lineRule="auto"/>
        <w:jc w:val="both"/>
        <w:rPr>
          <w:rFonts w:ascii="Arial" w:hAnsi="Arial" w:cs="Arial"/>
        </w:rPr>
      </w:pPr>
    </w:p>
    <w:p w14:paraId="7756CDEF" w14:textId="77777777" w:rsidR="0004501B" w:rsidRPr="006F6094" w:rsidRDefault="0004501B" w:rsidP="00683479">
      <w:pPr>
        <w:pStyle w:val="Ttulo3"/>
        <w:spacing w:before="0" w:after="0" w:line="240" w:lineRule="auto"/>
        <w:jc w:val="both"/>
        <w:rPr>
          <w:rFonts w:ascii="Arial" w:hAnsi="Arial" w:cs="Arial"/>
          <w:bCs w:val="0"/>
          <w:sz w:val="22"/>
          <w:szCs w:val="22"/>
        </w:rPr>
      </w:pPr>
      <w:bookmarkStart w:id="18" w:name="_Toc108966255"/>
      <w:r w:rsidRPr="006F6094">
        <w:rPr>
          <w:rFonts w:ascii="Arial" w:hAnsi="Arial" w:cs="Arial"/>
          <w:bCs w:val="0"/>
          <w:sz w:val="22"/>
          <w:szCs w:val="22"/>
        </w:rPr>
        <w:t>APLICAR A CADA MODELO CON SU INDICADOR EL COEFICIENTE DE DETERMINACIÓN</w:t>
      </w:r>
      <w:bookmarkEnd w:id="18"/>
      <w:r w:rsidRPr="006F6094">
        <w:rPr>
          <w:rFonts w:ascii="Arial" w:hAnsi="Arial" w:cs="Arial"/>
          <w:bCs w:val="0"/>
          <w:sz w:val="22"/>
          <w:szCs w:val="22"/>
        </w:rPr>
        <w:t xml:space="preserve"> </w:t>
      </w:r>
    </w:p>
    <w:p w14:paraId="582739D7" w14:textId="77777777" w:rsidR="0004501B" w:rsidRPr="006F6094" w:rsidRDefault="0004501B" w:rsidP="00683479">
      <w:pPr>
        <w:spacing w:after="0" w:line="240" w:lineRule="auto"/>
        <w:rPr>
          <w:rFonts w:ascii="Arial" w:hAnsi="Arial" w:cs="Arial"/>
        </w:rPr>
      </w:pPr>
    </w:p>
    <w:p w14:paraId="3E6EE3FB" w14:textId="0CB0F7EC" w:rsidR="0004501B" w:rsidRPr="006F6094" w:rsidRDefault="0004501B" w:rsidP="00683479">
      <w:pPr>
        <w:pStyle w:val="Sangradetextonormal"/>
        <w:spacing w:after="0"/>
        <w:ind w:left="0"/>
        <w:rPr>
          <w:rFonts w:cs="Arial"/>
          <w:sz w:val="22"/>
        </w:rPr>
      </w:pPr>
      <w:r w:rsidRPr="006F6094">
        <w:rPr>
          <w:rFonts w:cs="Arial"/>
          <w:sz w:val="22"/>
        </w:rPr>
        <w:t xml:space="preserve">Para determinar si el proceso de asignación de puntaje ha sido eficiente se debe calcular el coeficiente de determinación o </w:t>
      </w:r>
      <w:proofErr w:type="spellStart"/>
      <w:r w:rsidRPr="006F6094">
        <w:rPr>
          <w:rFonts w:cs="Arial"/>
          <w:sz w:val="22"/>
        </w:rPr>
        <w:t>R2</w:t>
      </w:r>
      <w:proofErr w:type="spellEnd"/>
      <w:r w:rsidRPr="006F6094">
        <w:rPr>
          <w:rFonts w:cs="Arial"/>
          <w:sz w:val="22"/>
        </w:rPr>
        <w:t xml:space="preserve">, el cual es una medida estadística que permite conocer que tan bien o mal, la variable independiente explica a la variable dependiente, es decir, que tan acertada fue la asignación del puntaje a cada entidad. El criterio de asertividad o eficiente se establece a partir de un indicador </w:t>
      </w:r>
      <w:proofErr w:type="spellStart"/>
      <w:r w:rsidRPr="006F6094">
        <w:rPr>
          <w:rFonts w:cs="Arial"/>
          <w:sz w:val="22"/>
        </w:rPr>
        <w:t>R2</w:t>
      </w:r>
      <w:proofErr w:type="spellEnd"/>
      <w:r w:rsidRPr="006F6094">
        <w:rPr>
          <w:rFonts w:cs="Arial"/>
          <w:sz w:val="22"/>
        </w:rPr>
        <w:t xml:space="preserve"> superior a 0,70. Cuando este sea superior 0,70 se dice que es eficiente. Cuando el coeficiente es menor a 0.70 se debe revisar el puntaje asignado a cada entidad para cada indicador.  Es importante aclarar que 0.70 es una regla empírica. </w:t>
      </w:r>
    </w:p>
    <w:p w14:paraId="3F2CE7A7" w14:textId="77777777" w:rsidR="0004501B" w:rsidRPr="006F6094" w:rsidRDefault="0004501B" w:rsidP="00683479">
      <w:pPr>
        <w:spacing w:after="0" w:line="240" w:lineRule="auto"/>
        <w:rPr>
          <w:rFonts w:ascii="Arial" w:hAnsi="Arial" w:cs="Arial"/>
        </w:rPr>
      </w:pPr>
    </w:p>
    <w:p w14:paraId="38BFD8D8" w14:textId="77777777" w:rsidR="0004501B" w:rsidRPr="006F6094" w:rsidRDefault="0004501B" w:rsidP="00683479">
      <w:pPr>
        <w:pStyle w:val="Ttulo3"/>
        <w:spacing w:before="0" w:after="0" w:line="240" w:lineRule="auto"/>
        <w:jc w:val="both"/>
        <w:rPr>
          <w:rFonts w:ascii="Arial" w:eastAsia="Arial" w:hAnsi="Arial" w:cs="Arial"/>
          <w:bCs w:val="0"/>
          <w:sz w:val="22"/>
          <w:szCs w:val="22"/>
        </w:rPr>
      </w:pPr>
      <w:bookmarkStart w:id="19" w:name="_Toc108966256"/>
      <w:r w:rsidRPr="006F6094">
        <w:rPr>
          <w:rFonts w:ascii="Arial" w:eastAsia="Arial" w:hAnsi="Arial" w:cs="Arial"/>
          <w:bCs w:val="0"/>
          <w:sz w:val="22"/>
          <w:szCs w:val="22"/>
        </w:rPr>
        <w:t>ELABORAR MATRIZ DE INDICADORES CON SU RESPECTIVA CALIFICACIÓN</w:t>
      </w:r>
      <w:bookmarkEnd w:id="19"/>
      <w:r w:rsidRPr="006F6094">
        <w:rPr>
          <w:rFonts w:ascii="Arial" w:eastAsia="Arial" w:hAnsi="Arial" w:cs="Arial"/>
          <w:bCs w:val="0"/>
          <w:sz w:val="22"/>
          <w:szCs w:val="22"/>
        </w:rPr>
        <w:t xml:space="preserve"> </w:t>
      </w:r>
    </w:p>
    <w:p w14:paraId="32EEB4E1" w14:textId="77777777" w:rsidR="0004501B" w:rsidRPr="006F6094" w:rsidRDefault="0004501B" w:rsidP="00683479">
      <w:pPr>
        <w:pStyle w:val="Sangradetextonormal"/>
        <w:spacing w:after="0"/>
        <w:ind w:left="0"/>
        <w:rPr>
          <w:rFonts w:cs="Arial"/>
          <w:b/>
          <w:sz w:val="22"/>
        </w:rPr>
      </w:pPr>
    </w:p>
    <w:p w14:paraId="6BD559B3" w14:textId="7C23D1E7" w:rsidR="0004501B" w:rsidRPr="006F6094" w:rsidRDefault="0004501B" w:rsidP="00683479">
      <w:pPr>
        <w:pStyle w:val="Sangradetextonormal"/>
        <w:spacing w:after="0"/>
        <w:ind w:left="0"/>
        <w:rPr>
          <w:rFonts w:cs="Arial"/>
          <w:sz w:val="22"/>
        </w:rPr>
      </w:pPr>
      <w:r w:rsidRPr="006F6094">
        <w:rPr>
          <w:rFonts w:cs="Arial"/>
          <w:sz w:val="22"/>
        </w:rPr>
        <w:t xml:space="preserve">Luego de calificar los modelos se procede a desarrollar una matriz de indicadores con sus respectivos puntajes o calificaciones por cada indicador. Una vez se cuenta con la matriz consolidada se procede a calcular un promedio ponderado, tal cual como se observa en la siguiente matriz para cada una de las entidades financieras analizadas. </w:t>
      </w:r>
    </w:p>
    <w:p w14:paraId="5811DC25" w14:textId="77777777" w:rsidR="00C165EA" w:rsidRPr="006F6094" w:rsidRDefault="00C165EA" w:rsidP="00683479">
      <w:pPr>
        <w:pStyle w:val="Sangradetextonormal"/>
        <w:spacing w:after="0"/>
        <w:ind w:left="0"/>
        <w:rPr>
          <w:rFonts w:cs="Arial"/>
          <w:sz w:val="22"/>
        </w:rPr>
      </w:pPr>
    </w:p>
    <w:p w14:paraId="612C1924" w14:textId="77777777" w:rsidR="0004501B" w:rsidRPr="006F6094" w:rsidRDefault="000F0527" w:rsidP="00683479">
      <w:pPr>
        <w:pStyle w:val="Ttulo3"/>
        <w:spacing w:before="0" w:after="0" w:line="240" w:lineRule="auto"/>
        <w:jc w:val="both"/>
        <w:rPr>
          <w:rFonts w:ascii="Arial" w:eastAsia="Arial" w:hAnsi="Arial" w:cs="Arial"/>
          <w:bCs w:val="0"/>
          <w:sz w:val="22"/>
          <w:szCs w:val="22"/>
          <w:lang w:val="es-ES"/>
        </w:rPr>
      </w:pPr>
      <w:bookmarkStart w:id="20" w:name="_Toc108966257"/>
      <w:r w:rsidRPr="006F6094">
        <w:rPr>
          <w:rFonts w:ascii="Arial" w:eastAsia="Arial" w:hAnsi="Arial" w:cs="Arial"/>
          <w:bCs w:val="0"/>
          <w:sz w:val="22"/>
          <w:szCs w:val="22"/>
          <w:lang w:val="es-ES"/>
        </w:rPr>
        <w:t>ASIGNAR NIVEL O PERFIL DE RIESGO DE EMISOR, DEPOSITARIO Y CONTRAPARTE</w:t>
      </w:r>
      <w:bookmarkEnd w:id="20"/>
      <w:r w:rsidRPr="006F6094">
        <w:rPr>
          <w:rFonts w:ascii="Arial" w:eastAsia="Arial" w:hAnsi="Arial" w:cs="Arial"/>
          <w:bCs w:val="0"/>
          <w:sz w:val="22"/>
          <w:szCs w:val="22"/>
          <w:lang w:val="es-ES"/>
        </w:rPr>
        <w:t xml:space="preserve"> </w:t>
      </w:r>
    </w:p>
    <w:p w14:paraId="73CD599C" w14:textId="77777777" w:rsidR="00B73A36" w:rsidRPr="006F6094" w:rsidRDefault="00B73A36" w:rsidP="00683479">
      <w:pPr>
        <w:spacing w:after="0" w:line="240" w:lineRule="auto"/>
        <w:rPr>
          <w:rFonts w:ascii="Arial" w:hAnsi="Arial" w:cs="Arial"/>
          <w:lang w:val="es-ES"/>
        </w:rPr>
      </w:pPr>
    </w:p>
    <w:p w14:paraId="27F3A637" w14:textId="77777777" w:rsidR="00B73A36" w:rsidRPr="006F6094" w:rsidRDefault="00B73A36" w:rsidP="00683479">
      <w:pPr>
        <w:pStyle w:val="Sangradetextonormal"/>
        <w:spacing w:after="0"/>
        <w:ind w:left="0"/>
        <w:rPr>
          <w:rFonts w:cs="Arial"/>
          <w:sz w:val="22"/>
        </w:rPr>
      </w:pPr>
      <w:r w:rsidRPr="006F6094">
        <w:rPr>
          <w:rFonts w:cs="Arial"/>
          <w:sz w:val="22"/>
        </w:rPr>
        <w:t>Para determinar el nivel o perfil de riesgo de emisor, depositario y contraparte de las entidades analizadas, conforme los cálculos por cada variable y por cada indicador se procede a ordenar la matriz de calificaciones, mayor a menor y se inicia la asignación conforme la escala desarrollada en el punto 6.</w:t>
      </w:r>
    </w:p>
    <w:p w14:paraId="15C1B6DC" w14:textId="048D14FB" w:rsidR="00B73A36" w:rsidRDefault="00B73A36" w:rsidP="00683479">
      <w:pPr>
        <w:pStyle w:val="Sangradetextonormal"/>
        <w:spacing w:after="0"/>
        <w:ind w:left="0"/>
        <w:rPr>
          <w:rFonts w:cs="Arial"/>
          <w:b/>
          <w:bCs/>
          <w:sz w:val="22"/>
        </w:rPr>
      </w:pPr>
    </w:p>
    <w:p w14:paraId="336AA37F" w14:textId="77777777" w:rsidR="009928D4" w:rsidRPr="006F6094" w:rsidRDefault="009928D4" w:rsidP="00683479">
      <w:pPr>
        <w:pStyle w:val="Sangradetextonormal"/>
        <w:spacing w:after="0"/>
        <w:ind w:left="0"/>
        <w:rPr>
          <w:rFonts w:cs="Arial"/>
          <w:b/>
          <w:bCs/>
          <w:sz w:val="22"/>
        </w:rPr>
      </w:pPr>
    </w:p>
    <w:p w14:paraId="4390E4AC" w14:textId="6A4A051F" w:rsidR="00B73A36" w:rsidRPr="006F6094" w:rsidRDefault="00C6298D" w:rsidP="00683479">
      <w:pPr>
        <w:pStyle w:val="Ttulo3"/>
        <w:spacing w:before="0" w:after="0" w:line="240" w:lineRule="auto"/>
        <w:jc w:val="both"/>
        <w:rPr>
          <w:rFonts w:ascii="Arial" w:eastAsia="Arial" w:hAnsi="Arial" w:cs="Arial"/>
          <w:bCs w:val="0"/>
          <w:sz w:val="22"/>
          <w:szCs w:val="22"/>
          <w:lang w:val="es-ES"/>
        </w:rPr>
      </w:pPr>
      <w:bookmarkStart w:id="21" w:name="_Toc108966258"/>
      <w:r w:rsidRPr="006F6094">
        <w:rPr>
          <w:rFonts w:ascii="Arial" w:eastAsia="Arial" w:hAnsi="Arial" w:cs="Arial"/>
          <w:bCs w:val="0"/>
          <w:sz w:val="22"/>
          <w:szCs w:val="22"/>
          <w:lang w:val="es-ES"/>
        </w:rPr>
        <w:lastRenderedPageBreak/>
        <w:t>ASIGNACIÓN</w:t>
      </w:r>
      <w:r w:rsidR="00C54AF3" w:rsidRPr="006F6094">
        <w:rPr>
          <w:rFonts w:ascii="Arial" w:eastAsia="Arial" w:hAnsi="Arial" w:cs="Arial"/>
          <w:bCs w:val="0"/>
          <w:sz w:val="22"/>
          <w:szCs w:val="22"/>
          <w:lang w:val="es-ES"/>
        </w:rPr>
        <w:t xml:space="preserve"> DEL CUPO DE EMISOR, </w:t>
      </w:r>
      <w:r w:rsidRPr="006F6094">
        <w:rPr>
          <w:rFonts w:ascii="Arial" w:eastAsia="Arial" w:hAnsi="Arial" w:cs="Arial"/>
          <w:bCs w:val="0"/>
          <w:sz w:val="22"/>
          <w:szCs w:val="22"/>
          <w:lang w:val="es-ES"/>
        </w:rPr>
        <w:t>DEPOSITARIO</w:t>
      </w:r>
      <w:r w:rsidR="00C54AF3" w:rsidRPr="006F6094">
        <w:rPr>
          <w:rFonts w:ascii="Arial" w:eastAsia="Arial" w:hAnsi="Arial" w:cs="Arial"/>
          <w:bCs w:val="0"/>
          <w:sz w:val="22"/>
          <w:szCs w:val="22"/>
          <w:lang w:val="es-ES"/>
        </w:rPr>
        <w:t xml:space="preserve"> Y CONTRAPARTE</w:t>
      </w:r>
      <w:bookmarkEnd w:id="21"/>
    </w:p>
    <w:p w14:paraId="28A170A7" w14:textId="77777777" w:rsidR="0004501B" w:rsidRPr="006F6094" w:rsidRDefault="0004501B" w:rsidP="00683479">
      <w:pPr>
        <w:spacing w:after="0" w:line="240" w:lineRule="auto"/>
        <w:jc w:val="both"/>
        <w:rPr>
          <w:rFonts w:ascii="Arial" w:eastAsia="Arial" w:hAnsi="Arial" w:cs="Arial"/>
          <w:noProof/>
          <w:lang w:eastAsia="es-ES" w:bidi="es-ES"/>
        </w:rPr>
      </w:pPr>
    </w:p>
    <w:p w14:paraId="6702FF49" w14:textId="1D0F0F76" w:rsidR="00C54AF3" w:rsidRPr="006F6094" w:rsidRDefault="00C54AF3" w:rsidP="00683479">
      <w:pPr>
        <w:pStyle w:val="Sangradetextonormal"/>
        <w:spacing w:after="0"/>
        <w:ind w:left="0"/>
        <w:rPr>
          <w:rFonts w:cs="Arial"/>
          <w:sz w:val="22"/>
        </w:rPr>
      </w:pPr>
      <w:r w:rsidRPr="006F6094">
        <w:rPr>
          <w:rFonts w:cs="Arial"/>
          <w:sz w:val="22"/>
        </w:rPr>
        <w:t xml:space="preserve">Para determinar el cupo de emisor, depositario y contraparte se procederá a calcular con base en el patrimonio técnico de la contraparte y el valor del portafolio de </w:t>
      </w:r>
      <w:r w:rsidR="00FB66E6" w:rsidRPr="006F6094">
        <w:rPr>
          <w:rFonts w:cs="Arial"/>
          <w:b/>
          <w:bCs/>
          <w:sz w:val="22"/>
        </w:rPr>
        <w:t>COOPEAIPE</w:t>
      </w:r>
      <w:r w:rsidRPr="006F6094">
        <w:rPr>
          <w:rFonts w:cs="Arial"/>
          <w:sz w:val="22"/>
        </w:rPr>
        <w:t>. Se calcula un producto entre el patrimonio técnico de la contraparte y el nivel de riesgo asignado en la siguiente tabla. En todo caso las entidades que no tengan una calificación igual o superior de AA+ emitido por una calificadora de riesgo vigilada por la Superfinanciera, no podrán tener cupo asignado.</w:t>
      </w:r>
    </w:p>
    <w:p w14:paraId="79087260" w14:textId="77777777" w:rsidR="00C54AF3" w:rsidRPr="006F6094" w:rsidRDefault="00C54AF3" w:rsidP="00683479">
      <w:pPr>
        <w:pStyle w:val="Sangradetextonormal"/>
        <w:spacing w:after="0"/>
        <w:ind w:left="0"/>
        <w:rPr>
          <w:rFonts w:cs="Arial"/>
          <w:sz w:val="22"/>
        </w:rPr>
      </w:pPr>
    </w:p>
    <w:tbl>
      <w:tblPr>
        <w:tblW w:w="5580" w:type="dxa"/>
        <w:jc w:val="center"/>
        <w:tblCellMar>
          <w:left w:w="0" w:type="dxa"/>
          <w:right w:w="0" w:type="dxa"/>
        </w:tblCellMar>
        <w:tblLook w:val="04A0" w:firstRow="1" w:lastRow="0" w:firstColumn="1" w:lastColumn="0" w:noHBand="0" w:noVBand="1"/>
      </w:tblPr>
      <w:tblGrid>
        <w:gridCol w:w="2535"/>
        <w:gridCol w:w="3045"/>
      </w:tblGrid>
      <w:tr w:rsidR="00D00CC9" w:rsidRPr="006F6094" w14:paraId="18971BDB" w14:textId="77777777" w:rsidTr="000B1B46">
        <w:trPr>
          <w:trHeight w:val="576"/>
          <w:jc w:val="center"/>
        </w:trPr>
        <w:tc>
          <w:tcPr>
            <w:tcW w:w="2535" w:type="dxa"/>
            <w:tcBorders>
              <w:top w:val="single" w:sz="4" w:space="0" w:color="auto"/>
              <w:left w:val="single" w:sz="4" w:space="0" w:color="auto"/>
              <w:bottom w:val="single" w:sz="4" w:space="0" w:color="auto"/>
              <w:right w:val="single" w:sz="4" w:space="0" w:color="auto"/>
            </w:tcBorders>
            <w:shd w:val="clear" w:color="auto" w:fill="5B9BD5"/>
            <w:noWrap/>
            <w:tcMar>
              <w:top w:w="15" w:type="dxa"/>
              <w:left w:w="15" w:type="dxa"/>
              <w:bottom w:w="0" w:type="dxa"/>
              <w:right w:w="15" w:type="dxa"/>
            </w:tcMar>
            <w:vAlign w:val="center"/>
            <w:hideMark/>
          </w:tcPr>
          <w:p w14:paraId="5418CB6E" w14:textId="77777777" w:rsidR="00C54AF3" w:rsidRPr="006F6094" w:rsidRDefault="00C54AF3" w:rsidP="00683479">
            <w:pPr>
              <w:spacing w:after="0" w:line="240" w:lineRule="auto"/>
              <w:jc w:val="center"/>
              <w:rPr>
                <w:rFonts w:ascii="Arial" w:hAnsi="Arial" w:cs="Arial"/>
                <w:b/>
                <w:bCs/>
              </w:rPr>
            </w:pPr>
            <w:r w:rsidRPr="006F6094">
              <w:rPr>
                <w:rFonts w:ascii="Arial" w:hAnsi="Arial" w:cs="Arial"/>
                <w:b/>
                <w:bCs/>
              </w:rPr>
              <w:t>NIVEL DE RIESGO</w:t>
            </w:r>
          </w:p>
        </w:tc>
        <w:tc>
          <w:tcPr>
            <w:tcW w:w="3045" w:type="dxa"/>
            <w:tcBorders>
              <w:top w:val="single" w:sz="4" w:space="0" w:color="auto"/>
              <w:left w:val="single" w:sz="4" w:space="0" w:color="auto"/>
              <w:bottom w:val="single" w:sz="4" w:space="0" w:color="auto"/>
              <w:right w:val="single" w:sz="4" w:space="0" w:color="auto"/>
            </w:tcBorders>
            <w:shd w:val="clear" w:color="auto" w:fill="5B9BD5"/>
            <w:noWrap/>
            <w:tcMar>
              <w:top w:w="15" w:type="dxa"/>
              <w:left w:w="15" w:type="dxa"/>
              <w:bottom w:w="0" w:type="dxa"/>
              <w:right w:w="15" w:type="dxa"/>
            </w:tcMar>
            <w:vAlign w:val="center"/>
            <w:hideMark/>
          </w:tcPr>
          <w:p w14:paraId="56410CDB" w14:textId="77777777" w:rsidR="00C54AF3" w:rsidRPr="006F6094" w:rsidRDefault="00C54AF3" w:rsidP="00683479">
            <w:pPr>
              <w:spacing w:after="0" w:line="240" w:lineRule="auto"/>
              <w:jc w:val="center"/>
              <w:rPr>
                <w:rFonts w:ascii="Arial" w:hAnsi="Arial" w:cs="Arial"/>
                <w:b/>
                <w:bCs/>
              </w:rPr>
            </w:pPr>
            <w:r w:rsidRPr="006F6094">
              <w:rPr>
                <w:rFonts w:ascii="Arial" w:hAnsi="Arial" w:cs="Arial"/>
                <w:b/>
                <w:bCs/>
              </w:rPr>
              <w:t>PATRIMONIO TÉCNICO /PORTAFOLIO</w:t>
            </w:r>
          </w:p>
        </w:tc>
      </w:tr>
      <w:tr w:rsidR="00D00CC9" w:rsidRPr="006F6094" w14:paraId="345B9819" w14:textId="77777777" w:rsidTr="00C54AF3">
        <w:trPr>
          <w:trHeight w:val="288"/>
          <w:jc w:val="center"/>
        </w:trPr>
        <w:tc>
          <w:tcPr>
            <w:tcW w:w="2535" w:type="dxa"/>
            <w:tcBorders>
              <w:top w:val="single" w:sz="4" w:space="0" w:color="auto"/>
              <w:left w:val="single" w:sz="4" w:space="0" w:color="auto"/>
              <w:bottom w:val="single" w:sz="4" w:space="0" w:color="auto"/>
              <w:right w:val="single" w:sz="4" w:space="0" w:color="auto"/>
            </w:tcBorders>
            <w:shd w:val="clear" w:color="auto" w:fill="00B050"/>
            <w:noWrap/>
            <w:tcMar>
              <w:top w:w="15" w:type="dxa"/>
              <w:left w:w="15" w:type="dxa"/>
              <w:bottom w:w="0" w:type="dxa"/>
              <w:right w:w="15" w:type="dxa"/>
            </w:tcMar>
            <w:vAlign w:val="center"/>
            <w:hideMark/>
          </w:tcPr>
          <w:p w14:paraId="7814626B" w14:textId="77777777" w:rsidR="00C54AF3" w:rsidRPr="006F6094" w:rsidRDefault="00C54AF3" w:rsidP="00683479">
            <w:pPr>
              <w:spacing w:after="0" w:line="240" w:lineRule="auto"/>
              <w:jc w:val="center"/>
              <w:rPr>
                <w:rFonts w:ascii="Arial" w:hAnsi="Arial" w:cs="Arial"/>
                <w:b/>
              </w:rPr>
            </w:pPr>
            <w:r w:rsidRPr="006F6094">
              <w:rPr>
                <w:rFonts w:ascii="Arial" w:hAnsi="Arial" w:cs="Arial"/>
                <w:b/>
              </w:rPr>
              <w:t>RIESGO MÍNIMO</w:t>
            </w:r>
          </w:p>
        </w:tc>
        <w:tc>
          <w:tcPr>
            <w:tcW w:w="3045" w:type="dxa"/>
            <w:tcBorders>
              <w:top w:val="single" w:sz="4" w:space="0" w:color="auto"/>
              <w:left w:val="single" w:sz="4" w:space="0" w:color="auto"/>
              <w:bottom w:val="single" w:sz="4" w:space="0" w:color="auto"/>
              <w:right w:val="single" w:sz="4" w:space="0" w:color="auto"/>
            </w:tcBorders>
            <w:shd w:val="clear" w:color="D9E1F2" w:fill="D9E1F2"/>
            <w:noWrap/>
            <w:tcMar>
              <w:top w:w="15" w:type="dxa"/>
              <w:left w:w="15" w:type="dxa"/>
              <w:bottom w:w="0" w:type="dxa"/>
              <w:right w:w="15" w:type="dxa"/>
            </w:tcMar>
            <w:vAlign w:val="center"/>
            <w:hideMark/>
          </w:tcPr>
          <w:p w14:paraId="4110961C" w14:textId="77777777" w:rsidR="00C54AF3" w:rsidRPr="006F6094" w:rsidRDefault="00C54AF3" w:rsidP="00683479">
            <w:pPr>
              <w:spacing w:after="0" w:line="240" w:lineRule="auto"/>
              <w:jc w:val="center"/>
              <w:rPr>
                <w:rFonts w:ascii="Arial" w:hAnsi="Arial" w:cs="Arial"/>
                <w:b/>
              </w:rPr>
            </w:pPr>
            <w:r w:rsidRPr="006F6094">
              <w:rPr>
                <w:rFonts w:ascii="Arial" w:hAnsi="Arial" w:cs="Arial"/>
                <w:b/>
              </w:rPr>
              <w:t>20%</w:t>
            </w:r>
          </w:p>
        </w:tc>
      </w:tr>
      <w:tr w:rsidR="00D00CC9" w:rsidRPr="006F6094" w14:paraId="304D2BC8" w14:textId="77777777" w:rsidTr="00C54AF3">
        <w:trPr>
          <w:trHeight w:val="288"/>
          <w:jc w:val="center"/>
        </w:trPr>
        <w:tc>
          <w:tcPr>
            <w:tcW w:w="2535" w:type="dxa"/>
            <w:tcBorders>
              <w:top w:val="single" w:sz="4" w:space="0" w:color="auto"/>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center"/>
            <w:hideMark/>
          </w:tcPr>
          <w:p w14:paraId="38E6CE73" w14:textId="77777777" w:rsidR="00C54AF3" w:rsidRPr="006F6094" w:rsidRDefault="00C54AF3" w:rsidP="00683479">
            <w:pPr>
              <w:spacing w:after="0" w:line="240" w:lineRule="auto"/>
              <w:jc w:val="center"/>
              <w:rPr>
                <w:rFonts w:ascii="Arial" w:hAnsi="Arial" w:cs="Arial"/>
                <w:b/>
              </w:rPr>
            </w:pPr>
            <w:r w:rsidRPr="006F6094">
              <w:rPr>
                <w:rFonts w:ascii="Arial" w:hAnsi="Arial" w:cs="Arial"/>
                <w:b/>
              </w:rPr>
              <w:t>RIESGO B AJO</w:t>
            </w:r>
          </w:p>
        </w:tc>
        <w:tc>
          <w:tcPr>
            <w:tcW w:w="3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8AE3AD" w14:textId="77777777" w:rsidR="00C54AF3" w:rsidRPr="006F6094" w:rsidRDefault="00C54AF3" w:rsidP="00683479">
            <w:pPr>
              <w:spacing w:after="0" w:line="240" w:lineRule="auto"/>
              <w:jc w:val="center"/>
              <w:rPr>
                <w:rFonts w:ascii="Arial" w:hAnsi="Arial" w:cs="Arial"/>
                <w:b/>
              </w:rPr>
            </w:pPr>
            <w:r w:rsidRPr="006F6094">
              <w:rPr>
                <w:rFonts w:ascii="Arial" w:hAnsi="Arial" w:cs="Arial"/>
                <w:b/>
              </w:rPr>
              <w:t>15%</w:t>
            </w:r>
          </w:p>
        </w:tc>
      </w:tr>
      <w:tr w:rsidR="00D00CC9" w:rsidRPr="006F6094" w14:paraId="23B20F94" w14:textId="77777777" w:rsidTr="00C54AF3">
        <w:trPr>
          <w:trHeight w:val="528"/>
          <w:jc w:val="center"/>
        </w:trPr>
        <w:tc>
          <w:tcPr>
            <w:tcW w:w="2535" w:type="dxa"/>
            <w:tcBorders>
              <w:top w:val="single" w:sz="4" w:space="0" w:color="auto"/>
              <w:left w:val="single" w:sz="4" w:space="0" w:color="auto"/>
              <w:bottom w:val="single" w:sz="4" w:space="0" w:color="auto"/>
              <w:right w:val="single" w:sz="4" w:space="0" w:color="auto"/>
            </w:tcBorders>
            <w:shd w:val="clear" w:color="auto" w:fill="FFC000"/>
            <w:noWrap/>
            <w:tcMar>
              <w:top w:w="15" w:type="dxa"/>
              <w:left w:w="15" w:type="dxa"/>
              <w:bottom w:w="0" w:type="dxa"/>
              <w:right w:w="15" w:type="dxa"/>
            </w:tcMar>
            <w:vAlign w:val="center"/>
            <w:hideMark/>
          </w:tcPr>
          <w:p w14:paraId="1B955985" w14:textId="77777777" w:rsidR="00C54AF3" w:rsidRPr="006F6094" w:rsidRDefault="00C54AF3" w:rsidP="00683479">
            <w:pPr>
              <w:spacing w:after="0" w:line="240" w:lineRule="auto"/>
              <w:jc w:val="center"/>
              <w:rPr>
                <w:rFonts w:ascii="Arial" w:hAnsi="Arial" w:cs="Arial"/>
                <w:b/>
              </w:rPr>
            </w:pPr>
            <w:r w:rsidRPr="006F6094">
              <w:rPr>
                <w:rFonts w:ascii="Arial" w:hAnsi="Arial" w:cs="Arial"/>
                <w:b/>
              </w:rPr>
              <w:t>RIESGO MEDIO</w:t>
            </w:r>
          </w:p>
        </w:tc>
        <w:tc>
          <w:tcPr>
            <w:tcW w:w="3045" w:type="dxa"/>
            <w:tcBorders>
              <w:top w:val="single" w:sz="4" w:space="0" w:color="auto"/>
              <w:left w:val="single" w:sz="4" w:space="0" w:color="auto"/>
              <w:bottom w:val="single" w:sz="4" w:space="0" w:color="auto"/>
              <w:right w:val="single" w:sz="4" w:space="0" w:color="auto"/>
            </w:tcBorders>
            <w:shd w:val="clear" w:color="D9E1F2" w:fill="D9E1F2"/>
            <w:noWrap/>
            <w:tcMar>
              <w:top w:w="15" w:type="dxa"/>
              <w:left w:w="15" w:type="dxa"/>
              <w:bottom w:w="0" w:type="dxa"/>
              <w:right w:w="15" w:type="dxa"/>
            </w:tcMar>
            <w:vAlign w:val="center"/>
            <w:hideMark/>
          </w:tcPr>
          <w:p w14:paraId="4B981031" w14:textId="77777777" w:rsidR="00C54AF3" w:rsidRPr="006F6094" w:rsidRDefault="00C54AF3" w:rsidP="00683479">
            <w:pPr>
              <w:spacing w:after="0" w:line="240" w:lineRule="auto"/>
              <w:jc w:val="center"/>
              <w:rPr>
                <w:rFonts w:ascii="Arial" w:hAnsi="Arial" w:cs="Arial"/>
                <w:b/>
              </w:rPr>
            </w:pPr>
            <w:r w:rsidRPr="006F6094">
              <w:rPr>
                <w:rFonts w:ascii="Arial" w:hAnsi="Arial" w:cs="Arial"/>
                <w:b/>
              </w:rPr>
              <w:t>10%</w:t>
            </w:r>
          </w:p>
        </w:tc>
      </w:tr>
      <w:tr w:rsidR="00D00CC9" w:rsidRPr="006F6094" w14:paraId="098DA986" w14:textId="77777777" w:rsidTr="00C54AF3">
        <w:trPr>
          <w:trHeight w:val="288"/>
          <w:jc w:val="center"/>
        </w:trPr>
        <w:tc>
          <w:tcPr>
            <w:tcW w:w="2535" w:type="dxa"/>
            <w:tcBorders>
              <w:top w:val="single" w:sz="4" w:space="0" w:color="auto"/>
              <w:left w:val="single" w:sz="4" w:space="0" w:color="auto"/>
              <w:bottom w:val="single" w:sz="4" w:space="0" w:color="auto"/>
              <w:right w:val="single" w:sz="4" w:space="0" w:color="auto"/>
            </w:tcBorders>
            <w:shd w:val="clear" w:color="auto" w:fill="FF0000"/>
            <w:noWrap/>
            <w:tcMar>
              <w:top w:w="15" w:type="dxa"/>
              <w:left w:w="15" w:type="dxa"/>
              <w:bottom w:w="0" w:type="dxa"/>
              <w:right w:w="15" w:type="dxa"/>
            </w:tcMar>
            <w:vAlign w:val="center"/>
            <w:hideMark/>
          </w:tcPr>
          <w:p w14:paraId="010C6A33" w14:textId="77777777" w:rsidR="00C54AF3" w:rsidRPr="006F6094" w:rsidRDefault="00C54AF3" w:rsidP="00683479">
            <w:pPr>
              <w:spacing w:after="0" w:line="240" w:lineRule="auto"/>
              <w:jc w:val="center"/>
              <w:rPr>
                <w:rFonts w:ascii="Arial" w:hAnsi="Arial" w:cs="Arial"/>
                <w:b/>
              </w:rPr>
            </w:pPr>
            <w:r w:rsidRPr="006F6094">
              <w:rPr>
                <w:rFonts w:ascii="Arial" w:hAnsi="Arial" w:cs="Arial"/>
                <w:b/>
              </w:rPr>
              <w:t>RIESGO ALTO</w:t>
            </w:r>
          </w:p>
        </w:tc>
        <w:tc>
          <w:tcPr>
            <w:tcW w:w="304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52DA4D" w14:textId="77777777" w:rsidR="00C54AF3" w:rsidRPr="006F6094" w:rsidRDefault="00C54AF3" w:rsidP="00683479">
            <w:pPr>
              <w:spacing w:after="0" w:line="240" w:lineRule="auto"/>
              <w:jc w:val="center"/>
              <w:rPr>
                <w:rFonts w:ascii="Arial" w:hAnsi="Arial" w:cs="Arial"/>
                <w:b/>
              </w:rPr>
            </w:pPr>
            <w:r w:rsidRPr="006F6094">
              <w:rPr>
                <w:rFonts w:ascii="Arial" w:hAnsi="Arial" w:cs="Arial"/>
                <w:b/>
              </w:rPr>
              <w:t>5%</w:t>
            </w:r>
          </w:p>
        </w:tc>
      </w:tr>
      <w:tr w:rsidR="00D00CC9" w:rsidRPr="006F6094" w14:paraId="28E75743" w14:textId="77777777" w:rsidTr="00C54AF3">
        <w:trPr>
          <w:trHeight w:val="288"/>
          <w:jc w:val="center"/>
        </w:trPr>
        <w:tc>
          <w:tcPr>
            <w:tcW w:w="2535" w:type="dxa"/>
            <w:tcBorders>
              <w:top w:val="single" w:sz="4" w:space="0" w:color="auto"/>
              <w:left w:val="single" w:sz="4" w:space="0" w:color="auto"/>
              <w:bottom w:val="single" w:sz="4" w:space="0" w:color="auto"/>
              <w:right w:val="single" w:sz="4" w:space="0" w:color="auto"/>
            </w:tcBorders>
            <w:shd w:val="clear" w:color="auto" w:fill="C00000"/>
            <w:noWrap/>
            <w:tcMar>
              <w:top w:w="15" w:type="dxa"/>
              <w:left w:w="15" w:type="dxa"/>
              <w:bottom w:w="0" w:type="dxa"/>
              <w:right w:w="15" w:type="dxa"/>
            </w:tcMar>
            <w:vAlign w:val="center"/>
            <w:hideMark/>
          </w:tcPr>
          <w:p w14:paraId="1AAD27B0" w14:textId="77777777" w:rsidR="00C54AF3" w:rsidRPr="006F6094" w:rsidRDefault="00C54AF3" w:rsidP="00683479">
            <w:pPr>
              <w:spacing w:after="0" w:line="240" w:lineRule="auto"/>
              <w:jc w:val="center"/>
              <w:rPr>
                <w:rFonts w:ascii="Arial" w:hAnsi="Arial" w:cs="Arial"/>
                <w:b/>
              </w:rPr>
            </w:pPr>
            <w:r w:rsidRPr="006F6094">
              <w:rPr>
                <w:rFonts w:ascii="Arial" w:hAnsi="Arial" w:cs="Arial"/>
                <w:b/>
              </w:rPr>
              <w:t>RIESGO MUY ALTO</w:t>
            </w:r>
          </w:p>
        </w:tc>
        <w:tc>
          <w:tcPr>
            <w:tcW w:w="3045" w:type="dxa"/>
            <w:tcBorders>
              <w:top w:val="single" w:sz="4" w:space="0" w:color="auto"/>
              <w:left w:val="single" w:sz="4" w:space="0" w:color="auto"/>
              <w:bottom w:val="single" w:sz="4" w:space="0" w:color="auto"/>
              <w:right w:val="single" w:sz="4" w:space="0" w:color="auto"/>
            </w:tcBorders>
            <w:shd w:val="clear" w:color="D9E1F2" w:fill="D9E1F2"/>
            <w:noWrap/>
            <w:tcMar>
              <w:top w:w="15" w:type="dxa"/>
              <w:left w:w="15" w:type="dxa"/>
              <w:bottom w:w="0" w:type="dxa"/>
              <w:right w:w="15" w:type="dxa"/>
            </w:tcMar>
            <w:vAlign w:val="center"/>
            <w:hideMark/>
          </w:tcPr>
          <w:p w14:paraId="7FD852A4" w14:textId="77777777" w:rsidR="00C54AF3" w:rsidRPr="006F6094" w:rsidRDefault="00C54AF3" w:rsidP="00683479">
            <w:pPr>
              <w:spacing w:after="0" w:line="240" w:lineRule="auto"/>
              <w:jc w:val="center"/>
              <w:rPr>
                <w:rFonts w:ascii="Arial" w:hAnsi="Arial" w:cs="Arial"/>
                <w:b/>
              </w:rPr>
            </w:pPr>
            <w:r w:rsidRPr="006F6094">
              <w:rPr>
                <w:rFonts w:ascii="Arial" w:hAnsi="Arial" w:cs="Arial"/>
                <w:b/>
              </w:rPr>
              <w:t>0%</w:t>
            </w:r>
          </w:p>
        </w:tc>
      </w:tr>
    </w:tbl>
    <w:p w14:paraId="4E0B7E94" w14:textId="77777777" w:rsidR="00C54AF3" w:rsidRPr="006F6094" w:rsidRDefault="00C54AF3" w:rsidP="00683479">
      <w:pPr>
        <w:pStyle w:val="Sangradetextonormal"/>
        <w:spacing w:after="0"/>
        <w:ind w:left="0"/>
        <w:rPr>
          <w:rFonts w:cs="Arial"/>
          <w:sz w:val="22"/>
        </w:rPr>
      </w:pPr>
    </w:p>
    <w:p w14:paraId="2A03DA6B" w14:textId="7AFDEFE0" w:rsidR="00EA13C2" w:rsidRDefault="00EA13C2" w:rsidP="00683479">
      <w:pPr>
        <w:pStyle w:val="Sangradetextonormal"/>
        <w:spacing w:after="0"/>
        <w:ind w:left="0"/>
        <w:rPr>
          <w:rFonts w:cs="Arial"/>
          <w:sz w:val="22"/>
        </w:rPr>
      </w:pPr>
      <w:r w:rsidRPr="006F6094">
        <w:rPr>
          <w:rFonts w:cs="Arial"/>
          <w:sz w:val="22"/>
        </w:rPr>
        <w:t xml:space="preserve">Posteriormente se calcula un producto entre el valor del portafolio </w:t>
      </w:r>
      <w:r w:rsidR="00FB66E6" w:rsidRPr="006F6094">
        <w:rPr>
          <w:rFonts w:cs="Arial"/>
          <w:sz w:val="22"/>
        </w:rPr>
        <w:t>de la Cooperativa</w:t>
      </w:r>
      <w:r w:rsidRPr="006F6094">
        <w:rPr>
          <w:rFonts w:cs="Arial"/>
          <w:sz w:val="22"/>
        </w:rPr>
        <w:t xml:space="preserve"> y el nivel de riesgo asignado en la tabla anterior. El cupo asignado será el menor entre los dos cupos asignados. </w:t>
      </w:r>
    </w:p>
    <w:p w14:paraId="7AE86852" w14:textId="40F70D0C" w:rsidR="00A66596" w:rsidRDefault="00A66596" w:rsidP="00683479">
      <w:pPr>
        <w:pStyle w:val="Sangradetextonormal"/>
        <w:spacing w:after="0"/>
        <w:ind w:left="0"/>
        <w:rPr>
          <w:rFonts w:cs="Arial"/>
          <w:sz w:val="22"/>
        </w:rPr>
      </w:pPr>
    </w:p>
    <w:p w14:paraId="0EE9F136" w14:textId="77777777" w:rsidR="00A66596" w:rsidRDefault="00A66596" w:rsidP="00A66596">
      <w:pPr>
        <w:spacing w:after="0" w:line="240" w:lineRule="auto"/>
        <w:jc w:val="both"/>
        <w:rPr>
          <w:rFonts w:ascii="Arial" w:hAnsi="Arial" w:cs="Arial"/>
          <w:bCs/>
        </w:rPr>
      </w:pPr>
    </w:p>
    <w:p w14:paraId="3FD752EC" w14:textId="77777777" w:rsidR="00A66596" w:rsidRDefault="00A66596" w:rsidP="00A66596">
      <w:pPr>
        <w:spacing w:after="0" w:line="240" w:lineRule="auto"/>
        <w:jc w:val="both"/>
        <w:rPr>
          <w:rFonts w:ascii="Arial" w:hAnsi="Arial" w:cs="Arial"/>
          <w:b/>
          <w:bCs/>
          <w:lang w:val="es-MX"/>
        </w:rPr>
      </w:pPr>
      <w:r>
        <w:rPr>
          <w:rFonts w:ascii="Arial" w:hAnsi="Arial" w:cs="Arial"/>
          <w:b/>
          <w:bCs/>
          <w:lang w:val="es-MX"/>
        </w:rPr>
        <w:t>Comuníquese y cúmplase,</w:t>
      </w:r>
    </w:p>
    <w:p w14:paraId="42950B50" w14:textId="77777777" w:rsidR="00A66596" w:rsidRDefault="00A66596" w:rsidP="00A66596">
      <w:pPr>
        <w:spacing w:after="0" w:line="240" w:lineRule="auto"/>
        <w:jc w:val="both"/>
        <w:rPr>
          <w:rFonts w:ascii="Arial" w:hAnsi="Arial" w:cs="Arial"/>
          <w:lang w:val="es-MX"/>
        </w:rPr>
      </w:pPr>
    </w:p>
    <w:p w14:paraId="6ADFE542" w14:textId="77777777" w:rsidR="00A66596" w:rsidRDefault="00A66596" w:rsidP="00A66596">
      <w:pPr>
        <w:spacing w:after="0" w:line="240" w:lineRule="auto"/>
        <w:jc w:val="both"/>
        <w:rPr>
          <w:rFonts w:ascii="Arial" w:hAnsi="Arial" w:cs="Arial"/>
          <w:lang w:val="es-MX"/>
        </w:rPr>
      </w:pPr>
    </w:p>
    <w:p w14:paraId="2A6B1614" w14:textId="77777777" w:rsidR="00A66596" w:rsidRDefault="00A66596" w:rsidP="00A66596">
      <w:pPr>
        <w:spacing w:after="0" w:line="240" w:lineRule="auto"/>
        <w:jc w:val="both"/>
        <w:rPr>
          <w:rFonts w:ascii="Arial" w:hAnsi="Arial" w:cs="Arial"/>
          <w:lang w:val="es-MX"/>
        </w:rPr>
      </w:pPr>
    </w:p>
    <w:p w14:paraId="693AD5E7" w14:textId="77777777" w:rsidR="00A66596" w:rsidRDefault="00A66596" w:rsidP="00A66596">
      <w:pPr>
        <w:spacing w:after="0" w:line="240" w:lineRule="auto"/>
        <w:jc w:val="both"/>
        <w:rPr>
          <w:rFonts w:ascii="Arial" w:hAnsi="Arial" w:cs="Arial"/>
          <w:lang w:val="es-MX"/>
        </w:rPr>
      </w:pPr>
    </w:p>
    <w:p w14:paraId="112CFA8E" w14:textId="77777777" w:rsidR="00A66596" w:rsidRDefault="00A66596" w:rsidP="00A66596">
      <w:pPr>
        <w:spacing w:after="0" w:line="240" w:lineRule="auto"/>
        <w:jc w:val="both"/>
        <w:rPr>
          <w:rFonts w:ascii="Arial" w:hAnsi="Arial" w:cs="Arial"/>
          <w:bCs/>
          <w:lang w:val="es-ES"/>
        </w:rPr>
      </w:pPr>
      <w:r>
        <w:rPr>
          <w:rFonts w:ascii="Arial" w:hAnsi="Arial" w:cs="Arial"/>
          <w:bCs/>
          <w:lang w:val="es-ES"/>
        </w:rPr>
        <w:t xml:space="preserve">Presidente Consejo de Administración           </w:t>
      </w:r>
      <w:r>
        <w:rPr>
          <w:rFonts w:ascii="Arial" w:hAnsi="Arial" w:cs="Arial"/>
          <w:bCs/>
          <w:lang w:val="es-ES"/>
        </w:rPr>
        <w:tab/>
        <w:t>secretario Consejo de Administración</w:t>
      </w:r>
    </w:p>
    <w:p w14:paraId="0594C1D4" w14:textId="77777777" w:rsidR="00A66596" w:rsidRDefault="00A66596" w:rsidP="00A66596">
      <w:pPr>
        <w:spacing w:after="0" w:line="240" w:lineRule="auto"/>
        <w:jc w:val="both"/>
        <w:rPr>
          <w:rFonts w:ascii="Arial" w:hAnsi="Arial" w:cs="Arial"/>
          <w:bCs/>
          <w:lang w:val="es-ES"/>
        </w:rPr>
      </w:pPr>
    </w:p>
    <w:p w14:paraId="36DC83E2" w14:textId="77777777" w:rsidR="00A66596" w:rsidRDefault="00A66596" w:rsidP="00A66596">
      <w:pPr>
        <w:pStyle w:val="Default"/>
        <w:jc w:val="both"/>
        <w:rPr>
          <w:color w:val="auto"/>
          <w:sz w:val="22"/>
          <w:szCs w:val="22"/>
        </w:rPr>
      </w:pPr>
      <w:r>
        <w:rPr>
          <w:bCs/>
          <w:color w:val="auto"/>
          <w:sz w:val="22"/>
          <w:szCs w:val="22"/>
          <w:lang w:eastAsia="en-US"/>
        </w:rPr>
        <w:t>El presente manual fue socializado y aprobado en reunión de Consejo de Administración en sesión realizada el 12 de julio de 2022, según consta en el acta número 12 del año 2022</w:t>
      </w:r>
    </w:p>
    <w:p w14:paraId="60BC578E" w14:textId="77777777" w:rsidR="00A66596" w:rsidRPr="006F6094" w:rsidRDefault="00A66596" w:rsidP="00683479">
      <w:pPr>
        <w:pStyle w:val="Sangradetextonormal"/>
        <w:spacing w:after="0"/>
        <w:ind w:left="0"/>
        <w:rPr>
          <w:rFonts w:cs="Arial"/>
          <w:sz w:val="22"/>
        </w:rPr>
      </w:pPr>
    </w:p>
    <w:sectPr w:rsidR="00A66596" w:rsidRPr="006F6094" w:rsidSect="001956EA">
      <w:pgSz w:w="12240" w:h="15840"/>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F4CD0" w14:textId="77777777" w:rsidR="00CE4A6D" w:rsidRDefault="00CE4A6D" w:rsidP="00962017">
      <w:pPr>
        <w:spacing w:after="0" w:line="240" w:lineRule="auto"/>
      </w:pPr>
      <w:r>
        <w:separator/>
      </w:r>
    </w:p>
  </w:endnote>
  <w:endnote w:type="continuationSeparator" w:id="0">
    <w:p w14:paraId="2924C66D" w14:textId="77777777" w:rsidR="00CE4A6D" w:rsidRDefault="00CE4A6D" w:rsidP="0096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etropolis">
    <w:altName w:val="Arial"/>
    <w:panose1 w:val="00000000000000000000"/>
    <w:charset w:val="00"/>
    <w:family w:val="modern"/>
    <w:notTrueType/>
    <w:pitch w:val="variable"/>
    <w:sig w:usb0="00000001"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8AFFB" w14:textId="787D66C4" w:rsidR="000F27D5" w:rsidRPr="00D00CC9" w:rsidRDefault="00D00CC9" w:rsidP="00D00CC9">
    <w:pPr>
      <w:pStyle w:val="Piedepgina1"/>
      <w:jc w:val="center"/>
      <w:rPr>
        <w:rFonts w:ascii="Arial" w:hAnsi="Arial"/>
        <w:color w:val="BFBFBF" w:themeColor="background1" w:themeShade="BF"/>
        <w:sz w:val="18"/>
        <w:szCs w:val="18"/>
      </w:rPr>
    </w:pPr>
    <w:bookmarkStart w:id="3" w:name="_Hlk54964190"/>
    <w:r w:rsidRPr="00383579">
      <w:rPr>
        <w:rFonts w:ascii="Arial" w:hAnsi="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941F8" w14:textId="77777777" w:rsidR="00CE4A6D" w:rsidRDefault="00CE4A6D" w:rsidP="00962017">
      <w:pPr>
        <w:spacing w:after="0" w:line="240" w:lineRule="auto"/>
      </w:pPr>
      <w:r>
        <w:separator/>
      </w:r>
    </w:p>
  </w:footnote>
  <w:footnote w:type="continuationSeparator" w:id="0">
    <w:p w14:paraId="4FA6BE8C" w14:textId="77777777" w:rsidR="00CE4A6D" w:rsidRDefault="00CE4A6D" w:rsidP="00962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836"/>
      <w:gridCol w:w="1067"/>
      <w:gridCol w:w="10"/>
      <w:gridCol w:w="867"/>
      <w:gridCol w:w="317"/>
      <w:gridCol w:w="917"/>
      <w:gridCol w:w="987"/>
      <w:gridCol w:w="797"/>
      <w:gridCol w:w="1476"/>
    </w:tblGrid>
    <w:tr w:rsidR="00D00CC9" w:rsidRPr="0099063E" w14:paraId="0E6FB549" w14:textId="77777777" w:rsidTr="00A2700A">
      <w:trPr>
        <w:trHeight w:val="70"/>
      </w:trPr>
      <w:tc>
        <w:tcPr>
          <w:tcW w:w="11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CEF16" w14:textId="77777777" w:rsidR="00D00CC9" w:rsidRPr="00056E74" w:rsidRDefault="00D00CC9" w:rsidP="00D00CC9">
          <w:pPr>
            <w:spacing w:after="0"/>
            <w:rPr>
              <w:rFonts w:ascii="Arial" w:eastAsia="Times New Roman" w:hAnsi="Arial" w:cs="Arial"/>
              <w:sz w:val="18"/>
              <w:szCs w:val="18"/>
            </w:rPr>
          </w:pPr>
          <w:bookmarkStart w:id="1" w:name="_Hlk9596007"/>
          <w:bookmarkStart w:id="2" w:name="_Hlk54964086"/>
          <w:r w:rsidRPr="00056E74">
            <w:rPr>
              <w:rFonts w:ascii="Arial" w:eastAsia="Times New Roman" w:hAnsi="Arial" w:cs="Arial"/>
              <w:noProof/>
              <w:sz w:val="18"/>
              <w:szCs w:val="18"/>
            </w:rPr>
            <w:drawing>
              <wp:inline distT="0" distB="0" distL="0" distR="0" wp14:anchorId="6B816D9C" wp14:editId="5F56F740">
                <wp:extent cx="1181100" cy="446405"/>
                <wp:effectExtent l="0" t="0" r="0" b="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446405"/>
                        </a:xfrm>
                        <a:prstGeom prst="rect">
                          <a:avLst/>
                        </a:prstGeom>
                        <a:noFill/>
                        <a:ln>
                          <a:noFill/>
                        </a:ln>
                      </pic:spPr>
                    </pic:pic>
                  </a:graphicData>
                </a:graphic>
              </wp:inline>
            </w:drawing>
          </w: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CF1DD" w14:textId="77777777" w:rsidR="00D00CC9" w:rsidRPr="00056E74" w:rsidRDefault="00D00CC9" w:rsidP="00D00CC9">
          <w:pPr>
            <w:spacing w:after="0"/>
            <w:rPr>
              <w:rFonts w:ascii="Arial" w:eastAsia="Times New Roman" w:hAnsi="Arial" w:cs="Arial"/>
              <w:b/>
              <w:bCs/>
              <w:sz w:val="18"/>
              <w:szCs w:val="18"/>
            </w:rPr>
          </w:pPr>
          <w:r w:rsidRPr="00056E74">
            <w:rPr>
              <w:rFonts w:ascii="Arial" w:eastAsia="Times New Roman" w:hAnsi="Arial" w:cs="Arial"/>
              <w:b/>
              <w:bCs/>
              <w:sz w:val="18"/>
              <w:szCs w:val="18"/>
            </w:rPr>
            <w:t>PROCESO</w:t>
          </w:r>
        </w:p>
      </w:tc>
      <w:tc>
        <w:tcPr>
          <w:tcW w:w="292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9878113" w14:textId="77777777" w:rsidR="00D00CC9" w:rsidRPr="00056E74" w:rsidRDefault="00D00CC9" w:rsidP="00D00CC9">
          <w:pPr>
            <w:spacing w:after="0"/>
            <w:rPr>
              <w:rFonts w:ascii="Arial" w:eastAsia="Times New Roman" w:hAnsi="Arial" w:cs="Arial"/>
              <w:b/>
              <w:bCs/>
              <w:sz w:val="18"/>
              <w:szCs w:val="18"/>
            </w:rPr>
          </w:pPr>
          <w:r w:rsidRPr="00056E74">
            <w:rPr>
              <w:rFonts w:ascii="Arial" w:eastAsia="Times New Roman" w:hAnsi="Arial" w:cs="Arial"/>
              <w:b/>
              <w:bCs/>
              <w:sz w:val="18"/>
              <w:szCs w:val="18"/>
            </w:rPr>
            <w:t>SISTEMA DE ADMINISTRACIÓN DE RIESGO</w:t>
          </w:r>
        </w:p>
      </w:tc>
    </w:tr>
    <w:tr w:rsidR="00D00CC9" w:rsidRPr="0099063E" w14:paraId="6BC9566C" w14:textId="77777777" w:rsidTr="00A2700A">
      <w:trPr>
        <w:trHeight w:val="70"/>
      </w:trPr>
      <w:tc>
        <w:tcPr>
          <w:tcW w:w="11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E8A5CE7" w14:textId="77777777" w:rsidR="00D00CC9" w:rsidRPr="00056E74" w:rsidRDefault="00D00CC9" w:rsidP="00D00CC9">
          <w:pPr>
            <w:spacing w:after="0"/>
            <w:rPr>
              <w:rFonts w:ascii="Arial" w:eastAsia="Times New Roman" w:hAnsi="Arial" w:cs="Arial"/>
              <w:sz w:val="18"/>
              <w:szCs w:val="18"/>
            </w:rPr>
          </w:pP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AEA46" w14:textId="77777777" w:rsidR="00D00CC9" w:rsidRPr="00056E74" w:rsidRDefault="00D00CC9" w:rsidP="00D00CC9">
          <w:pPr>
            <w:spacing w:after="0"/>
            <w:rPr>
              <w:rFonts w:ascii="Arial" w:eastAsia="Times New Roman" w:hAnsi="Arial" w:cs="Arial"/>
              <w:b/>
              <w:sz w:val="18"/>
              <w:szCs w:val="18"/>
            </w:rPr>
          </w:pPr>
          <w:r>
            <w:rPr>
              <w:rFonts w:ascii="Arial" w:eastAsia="Times New Roman" w:hAnsi="Arial" w:cs="Arial"/>
              <w:b/>
              <w:sz w:val="18"/>
              <w:szCs w:val="18"/>
            </w:rPr>
            <w:t>MANUAL</w:t>
          </w:r>
        </w:p>
      </w:tc>
      <w:tc>
        <w:tcPr>
          <w:tcW w:w="292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C9A700D" w14:textId="1777B184" w:rsidR="00D00CC9" w:rsidRPr="00056E74" w:rsidRDefault="00D00CC9" w:rsidP="00D00CC9">
          <w:pPr>
            <w:spacing w:after="0"/>
            <w:jc w:val="both"/>
            <w:rPr>
              <w:rFonts w:ascii="Arial" w:eastAsia="Times New Roman" w:hAnsi="Arial" w:cs="Arial"/>
              <w:b/>
              <w:sz w:val="18"/>
              <w:szCs w:val="18"/>
            </w:rPr>
          </w:pPr>
          <w:r w:rsidRPr="00D00CC9">
            <w:rPr>
              <w:rFonts w:ascii="Arial" w:eastAsia="Times New Roman" w:hAnsi="Arial" w:cs="Arial"/>
              <w:b/>
              <w:sz w:val="18"/>
              <w:szCs w:val="18"/>
            </w:rPr>
            <w:t>MANUAL APLICACIÓN MODELO CAMEL PARA ANÁLISIS DE RIESGO EMISOR – DEPOSITARIO Y CONTRAPARTE</w:t>
          </w:r>
        </w:p>
      </w:tc>
    </w:tr>
    <w:tr w:rsidR="00D00CC9" w:rsidRPr="0099063E" w14:paraId="6048FF92" w14:textId="77777777" w:rsidTr="00A2700A">
      <w:trPr>
        <w:trHeight w:val="56"/>
      </w:trPr>
      <w:tc>
        <w:tcPr>
          <w:tcW w:w="11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60553D0" w14:textId="77777777" w:rsidR="00D00CC9" w:rsidRPr="00056E74" w:rsidRDefault="00D00CC9" w:rsidP="00D00CC9">
          <w:pPr>
            <w:spacing w:after="0"/>
            <w:rPr>
              <w:rFonts w:ascii="Arial" w:eastAsia="Times New Roman" w:hAnsi="Arial" w:cs="Arial"/>
              <w:sz w:val="18"/>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6D1FAA" w14:textId="77777777" w:rsidR="00D00CC9" w:rsidRPr="00056E74" w:rsidRDefault="00D00CC9" w:rsidP="00D00CC9">
          <w:pPr>
            <w:spacing w:after="0"/>
            <w:rPr>
              <w:rFonts w:ascii="Arial" w:eastAsia="Times New Roman" w:hAnsi="Arial" w:cs="Arial"/>
              <w:b/>
              <w:sz w:val="18"/>
              <w:szCs w:val="18"/>
            </w:rPr>
          </w:pPr>
          <w:r w:rsidRPr="00056E74">
            <w:rPr>
              <w:rFonts w:ascii="Arial" w:eastAsia="Times New Roman" w:hAnsi="Arial" w:cs="Arial"/>
              <w:b/>
              <w:sz w:val="18"/>
              <w:szCs w:val="18"/>
            </w:rPr>
            <w:t>Código</w:t>
          </w:r>
        </w:p>
      </w:tc>
      <w:tc>
        <w:tcPr>
          <w:tcW w:w="5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49313" w14:textId="4282F30C" w:rsidR="00D00CC9" w:rsidRPr="00056E74" w:rsidRDefault="00D00CC9" w:rsidP="00D00CC9">
          <w:pPr>
            <w:spacing w:after="0"/>
            <w:rPr>
              <w:rFonts w:ascii="Arial" w:eastAsia="Times New Roman" w:hAnsi="Arial" w:cs="Arial"/>
              <w:b/>
              <w:bCs/>
              <w:sz w:val="18"/>
              <w:szCs w:val="18"/>
            </w:rPr>
          </w:pPr>
          <w:r w:rsidRPr="00056E74">
            <w:rPr>
              <w:rFonts w:ascii="Arial" w:eastAsia="Times New Roman" w:hAnsi="Arial" w:cs="Arial"/>
              <w:b/>
              <w:bCs/>
              <w:sz w:val="18"/>
              <w:szCs w:val="18"/>
            </w:rPr>
            <w:t>SR-</w:t>
          </w:r>
          <w:r>
            <w:rPr>
              <w:rFonts w:ascii="Arial" w:eastAsia="Times New Roman" w:hAnsi="Arial" w:cs="Arial"/>
              <w:b/>
              <w:bCs/>
              <w:sz w:val="18"/>
              <w:szCs w:val="18"/>
            </w:rPr>
            <w:t>MA</w:t>
          </w:r>
          <w:r w:rsidRPr="00056E74">
            <w:rPr>
              <w:rFonts w:ascii="Arial" w:eastAsia="Times New Roman" w:hAnsi="Arial" w:cs="Arial"/>
              <w:b/>
              <w:bCs/>
              <w:sz w:val="18"/>
              <w:szCs w:val="18"/>
            </w:rPr>
            <w:t>-</w:t>
          </w:r>
          <w:r>
            <w:rPr>
              <w:rFonts w:ascii="Arial" w:eastAsia="Times New Roman" w:hAnsi="Arial" w:cs="Arial"/>
              <w:b/>
              <w:bCs/>
              <w:sz w:val="18"/>
              <w:szCs w:val="18"/>
            </w:rPr>
            <w:t>10</w:t>
          </w:r>
        </w:p>
      </w:tc>
      <w:tc>
        <w:tcPr>
          <w:tcW w:w="4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B2355" w14:textId="77777777" w:rsidR="00D00CC9" w:rsidRPr="00056E74" w:rsidRDefault="00D00CC9" w:rsidP="00D00CC9">
          <w:pPr>
            <w:spacing w:after="0"/>
            <w:rPr>
              <w:rFonts w:ascii="Arial" w:eastAsia="Times New Roman" w:hAnsi="Arial" w:cs="Arial"/>
              <w:b/>
              <w:sz w:val="18"/>
              <w:szCs w:val="18"/>
            </w:rPr>
          </w:pPr>
          <w:r w:rsidRPr="00056E74">
            <w:rPr>
              <w:rFonts w:ascii="Arial" w:eastAsia="Times New Roman" w:hAnsi="Arial" w:cs="Arial"/>
              <w:b/>
              <w:sz w:val="18"/>
              <w:szCs w:val="18"/>
            </w:rPr>
            <w:t>Versión</w:t>
          </w:r>
        </w:p>
      </w:tc>
      <w:tc>
        <w:tcPr>
          <w:tcW w:w="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74F24" w14:textId="77777777" w:rsidR="00D00CC9" w:rsidRPr="00056E74" w:rsidRDefault="00D00CC9" w:rsidP="00D00CC9">
          <w:pPr>
            <w:spacing w:after="0"/>
            <w:rPr>
              <w:rFonts w:ascii="Arial" w:eastAsia="Times New Roman" w:hAnsi="Arial" w:cs="Arial"/>
              <w:b/>
              <w:sz w:val="18"/>
              <w:szCs w:val="18"/>
            </w:rPr>
          </w:pPr>
          <w:r w:rsidRPr="00056E74">
            <w:rPr>
              <w:rFonts w:ascii="Arial" w:eastAsia="Times New Roman" w:hAnsi="Arial" w:cs="Arial"/>
              <w:b/>
              <w:sz w:val="18"/>
              <w:szCs w:val="18"/>
            </w:rPr>
            <w:t>1</w:t>
          </w:r>
        </w:p>
      </w:tc>
      <w:tc>
        <w:tcPr>
          <w:tcW w:w="4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3FB0F" w14:textId="77777777" w:rsidR="00D00CC9" w:rsidRPr="00056E74" w:rsidRDefault="00D00CC9" w:rsidP="00D00CC9">
          <w:pPr>
            <w:spacing w:after="0"/>
            <w:rPr>
              <w:rFonts w:ascii="Arial" w:eastAsia="Times New Roman" w:hAnsi="Arial" w:cs="Arial"/>
              <w:b/>
              <w:sz w:val="18"/>
              <w:szCs w:val="18"/>
            </w:rPr>
          </w:pPr>
          <w:r w:rsidRPr="00056E74">
            <w:rPr>
              <w:rFonts w:ascii="Arial" w:eastAsia="Times New Roman" w:hAnsi="Arial" w:cs="Arial"/>
              <w:b/>
              <w:sz w:val="18"/>
              <w:szCs w:val="18"/>
            </w:rPr>
            <w:t>Emisión</w:t>
          </w:r>
        </w:p>
      </w:tc>
      <w:tc>
        <w:tcPr>
          <w:tcW w:w="5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34644" w14:textId="77777777" w:rsidR="00D00CC9" w:rsidRPr="00056E74" w:rsidRDefault="00D00CC9" w:rsidP="00D00CC9">
          <w:pPr>
            <w:spacing w:after="0"/>
            <w:rPr>
              <w:rFonts w:ascii="Arial" w:eastAsia="Times New Roman" w:hAnsi="Arial" w:cs="Arial"/>
              <w:b/>
              <w:noProof/>
              <w:sz w:val="18"/>
              <w:szCs w:val="18"/>
            </w:rPr>
          </w:pPr>
          <w:r w:rsidRPr="00056E74">
            <w:rPr>
              <w:rFonts w:ascii="Arial" w:eastAsia="Times New Roman" w:hAnsi="Arial" w:cs="Arial"/>
              <w:b/>
              <w:noProof/>
              <w:sz w:val="18"/>
              <w:szCs w:val="18"/>
            </w:rPr>
            <w:t>Jun/2022</w:t>
          </w: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B740D" w14:textId="77777777" w:rsidR="00D00CC9" w:rsidRPr="00056E74" w:rsidRDefault="00D00CC9" w:rsidP="00D00CC9">
          <w:pPr>
            <w:spacing w:after="0"/>
            <w:rPr>
              <w:rFonts w:ascii="Arial" w:eastAsia="Times New Roman" w:hAnsi="Arial" w:cs="Arial"/>
              <w:b/>
              <w:sz w:val="18"/>
              <w:szCs w:val="18"/>
            </w:rPr>
          </w:pPr>
          <w:r w:rsidRPr="00056E74">
            <w:rPr>
              <w:rFonts w:ascii="Arial" w:eastAsia="Times New Roman" w:hAnsi="Arial" w:cs="Arial"/>
              <w:b/>
              <w:sz w:val="18"/>
              <w:szCs w:val="18"/>
            </w:rPr>
            <w:t>pagina</w:t>
          </w:r>
        </w:p>
      </w:tc>
      <w:tc>
        <w:tcPr>
          <w:tcW w:w="8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FC5ED" w14:textId="77777777" w:rsidR="00D00CC9" w:rsidRPr="00056E74" w:rsidRDefault="00D00CC9" w:rsidP="00D00CC9">
          <w:pPr>
            <w:pStyle w:val="Piedepgina"/>
            <w:rPr>
              <w:rFonts w:ascii="Arial" w:eastAsia="Times New Roman" w:hAnsi="Arial" w:cs="Arial"/>
              <w:b/>
              <w:sz w:val="18"/>
              <w:szCs w:val="18"/>
            </w:rPr>
          </w:pP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lang w:val="pt-BR"/>
            </w:rPr>
            <w:instrText xml:space="preserve"> PAGE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2</w:t>
          </w:r>
          <w:r w:rsidRPr="00056E74">
            <w:rPr>
              <w:rFonts w:ascii="Arial" w:eastAsia="Times New Roman" w:hAnsi="Arial" w:cs="Arial"/>
              <w:sz w:val="18"/>
              <w:szCs w:val="18"/>
            </w:rPr>
            <w:fldChar w:fldCharType="end"/>
          </w:r>
          <w:r w:rsidRPr="00056E74">
            <w:rPr>
              <w:rFonts w:ascii="Arial" w:eastAsia="Times New Roman" w:hAnsi="Arial" w:cs="Arial"/>
              <w:b/>
              <w:spacing w:val="-3"/>
              <w:sz w:val="18"/>
              <w:szCs w:val="18"/>
            </w:rPr>
            <w:t xml:space="preserve"> de </w:t>
          </w: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rPr>
            <w:instrText xml:space="preserve"> NUMPAGES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5</w:t>
          </w:r>
          <w:r w:rsidRPr="00056E74">
            <w:rPr>
              <w:rFonts w:ascii="Arial" w:eastAsia="Times New Roman" w:hAnsi="Arial" w:cs="Arial"/>
              <w:sz w:val="18"/>
              <w:szCs w:val="18"/>
            </w:rPr>
            <w:fldChar w:fldCharType="end"/>
          </w:r>
        </w:p>
      </w:tc>
      <w:bookmarkEnd w:id="1"/>
    </w:tr>
    <w:bookmarkEnd w:id="2"/>
  </w:tbl>
  <w:p w14:paraId="34C4C913" w14:textId="77777777" w:rsidR="000F27D5" w:rsidRDefault="000F27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E94"/>
    <w:multiLevelType w:val="hybridMultilevel"/>
    <w:tmpl w:val="7A92D824"/>
    <w:lvl w:ilvl="0" w:tplc="9EC80A3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610344"/>
    <w:multiLevelType w:val="multilevel"/>
    <w:tmpl w:val="775C7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Arial" w:hAnsi="Arial"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142CC0"/>
    <w:multiLevelType w:val="hybridMultilevel"/>
    <w:tmpl w:val="36F49CFA"/>
    <w:lvl w:ilvl="0" w:tplc="240A0019">
      <w:start w:val="1"/>
      <w:numFmt w:val="lowerLetter"/>
      <w:lvlText w:val="%1."/>
      <w:lvlJc w:val="left"/>
      <w:pPr>
        <w:ind w:left="720" w:hanging="360"/>
      </w:pPr>
      <w:rPr>
        <w:sz w:val="18"/>
        <w:szCs w:val="18"/>
      </w:rPr>
    </w:lvl>
    <w:lvl w:ilvl="1" w:tplc="CEB0AF1C">
      <w:start w:val="1"/>
      <w:numFmt w:val="lowerRoman"/>
      <w:lvlText w:val="%2)"/>
      <w:lvlJc w:val="left"/>
      <w:pPr>
        <w:ind w:left="1800" w:hanging="72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B10B9"/>
    <w:multiLevelType w:val="multilevel"/>
    <w:tmpl w:val="775C7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Arial" w:hAnsi="Arial"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1E5BE3"/>
    <w:multiLevelType w:val="hybridMultilevel"/>
    <w:tmpl w:val="BE54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A50A6"/>
    <w:multiLevelType w:val="hybridMultilevel"/>
    <w:tmpl w:val="7A92D824"/>
    <w:lvl w:ilvl="0" w:tplc="9EC80A3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8332B8"/>
    <w:multiLevelType w:val="hybridMultilevel"/>
    <w:tmpl w:val="05F00168"/>
    <w:lvl w:ilvl="0" w:tplc="A0264EF8">
      <w:start w:val="2"/>
      <w:numFmt w:val="bullet"/>
      <w:lvlText w:val="-"/>
      <w:lvlJc w:val="left"/>
      <w:pPr>
        <w:ind w:left="720" w:hanging="360"/>
      </w:pPr>
      <w:rPr>
        <w:rFonts w:ascii="Arial" w:eastAsia="MS Mincho"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307539"/>
    <w:multiLevelType w:val="hybridMultilevel"/>
    <w:tmpl w:val="8A14B750"/>
    <w:lvl w:ilvl="0" w:tplc="E6F60F4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280335"/>
    <w:multiLevelType w:val="hybridMultilevel"/>
    <w:tmpl w:val="71DC6D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6C139D"/>
    <w:multiLevelType w:val="hybridMultilevel"/>
    <w:tmpl w:val="0964C6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EBC6AC6"/>
    <w:multiLevelType w:val="multilevel"/>
    <w:tmpl w:val="F37466A6"/>
    <w:lvl w:ilvl="0">
      <w:start w:val="1"/>
      <w:numFmt w:val="decimal"/>
      <w:lvlText w:val="%1."/>
      <w:lvlJc w:val="left"/>
      <w:pPr>
        <w:ind w:left="284" w:hanging="284"/>
      </w:pPr>
      <w:rPr>
        <w:rFonts w:hint="default"/>
        <w:b/>
        <w:sz w:val="24"/>
        <w:szCs w:val="24"/>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2" w15:restartNumberingAfterBreak="0">
    <w:nsid w:val="4AA55325"/>
    <w:multiLevelType w:val="hybridMultilevel"/>
    <w:tmpl w:val="11BC9E38"/>
    <w:lvl w:ilvl="0" w:tplc="0409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C203DB0"/>
    <w:multiLevelType w:val="multilevel"/>
    <w:tmpl w:val="99ACC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Metropolis" w:hAnsi="Metropolis"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A6D5853"/>
    <w:multiLevelType w:val="hybridMultilevel"/>
    <w:tmpl w:val="43E41438"/>
    <w:lvl w:ilvl="0" w:tplc="240A000D">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5AA9557A"/>
    <w:multiLevelType w:val="hybridMultilevel"/>
    <w:tmpl w:val="59B8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6A299D"/>
    <w:multiLevelType w:val="singleLevel"/>
    <w:tmpl w:val="03C044BE"/>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C767267"/>
    <w:multiLevelType w:val="hybridMultilevel"/>
    <w:tmpl w:val="3E7EC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0A1869"/>
    <w:multiLevelType w:val="hybridMultilevel"/>
    <w:tmpl w:val="6A48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34BED"/>
    <w:multiLevelType w:val="hybridMultilevel"/>
    <w:tmpl w:val="AB14CE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7B00B98"/>
    <w:multiLevelType w:val="hybridMultilevel"/>
    <w:tmpl w:val="7A92D824"/>
    <w:lvl w:ilvl="0" w:tplc="9EC80A3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90062A2"/>
    <w:multiLevelType w:val="hybridMultilevel"/>
    <w:tmpl w:val="67A2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23C32"/>
    <w:multiLevelType w:val="hybridMultilevel"/>
    <w:tmpl w:val="7A92D824"/>
    <w:lvl w:ilvl="0" w:tplc="9EC80A3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2BC6F98"/>
    <w:multiLevelType w:val="multilevel"/>
    <w:tmpl w:val="99ACC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Metropolis" w:hAnsi="Metropolis"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5E63732"/>
    <w:multiLevelType w:val="hybridMultilevel"/>
    <w:tmpl w:val="55F07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CD8334A"/>
    <w:multiLevelType w:val="hybridMultilevel"/>
    <w:tmpl w:val="5290D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98376096">
    <w:abstractNumId w:val="19"/>
  </w:num>
  <w:num w:numId="2" w16cid:durableId="1979458239">
    <w:abstractNumId w:val="23"/>
  </w:num>
  <w:num w:numId="3" w16cid:durableId="637034485">
    <w:abstractNumId w:val="10"/>
  </w:num>
  <w:num w:numId="4" w16cid:durableId="222063366">
    <w:abstractNumId w:val="8"/>
  </w:num>
  <w:num w:numId="5" w16cid:durableId="88352656">
    <w:abstractNumId w:val="5"/>
  </w:num>
  <w:num w:numId="6" w16cid:durableId="1815440878">
    <w:abstractNumId w:val="14"/>
  </w:num>
  <w:num w:numId="7" w16cid:durableId="209418552">
    <w:abstractNumId w:val="25"/>
  </w:num>
  <w:num w:numId="8" w16cid:durableId="753623991">
    <w:abstractNumId w:val="2"/>
  </w:num>
  <w:num w:numId="9" w16cid:durableId="540098765">
    <w:abstractNumId w:val="12"/>
  </w:num>
  <w:num w:numId="10" w16cid:durableId="822352525">
    <w:abstractNumId w:val="15"/>
  </w:num>
  <w:num w:numId="11" w16cid:durableId="1481776054">
    <w:abstractNumId w:val="18"/>
  </w:num>
  <w:num w:numId="12" w16cid:durableId="1320113314">
    <w:abstractNumId w:val="1"/>
  </w:num>
  <w:num w:numId="13" w16cid:durableId="606235699">
    <w:abstractNumId w:val="4"/>
  </w:num>
  <w:num w:numId="14" w16cid:durableId="730810309">
    <w:abstractNumId w:val="9"/>
  </w:num>
  <w:num w:numId="15" w16cid:durableId="81462613">
    <w:abstractNumId w:val="17"/>
  </w:num>
  <w:num w:numId="16" w16cid:durableId="1285111441">
    <w:abstractNumId w:val="21"/>
  </w:num>
  <w:num w:numId="17" w16cid:durableId="2026521131">
    <w:abstractNumId w:val="13"/>
  </w:num>
  <w:num w:numId="18" w16cid:durableId="765274628">
    <w:abstractNumId w:val="7"/>
  </w:num>
  <w:num w:numId="19" w16cid:durableId="358163781">
    <w:abstractNumId w:val="24"/>
  </w:num>
  <w:num w:numId="20" w16cid:durableId="32922537">
    <w:abstractNumId w:val="20"/>
  </w:num>
  <w:num w:numId="21" w16cid:durableId="679813394">
    <w:abstractNumId w:val="22"/>
  </w:num>
  <w:num w:numId="22" w16cid:durableId="1538279185">
    <w:abstractNumId w:val="0"/>
  </w:num>
  <w:num w:numId="23" w16cid:durableId="449982577">
    <w:abstractNumId w:val="6"/>
  </w:num>
  <w:num w:numId="24" w16cid:durableId="387145556">
    <w:abstractNumId w:val="16"/>
  </w:num>
  <w:num w:numId="25" w16cid:durableId="507446748">
    <w:abstractNumId w:val="11"/>
  </w:num>
  <w:num w:numId="26" w16cid:durableId="1835220557">
    <w:abstractNumId w:val="3"/>
  </w:num>
  <w:num w:numId="27" w16cid:durableId="1718162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17"/>
    <w:rsid w:val="00002CF4"/>
    <w:rsid w:val="00002E18"/>
    <w:rsid w:val="00004377"/>
    <w:rsid w:val="00014937"/>
    <w:rsid w:val="00017032"/>
    <w:rsid w:val="00020FAD"/>
    <w:rsid w:val="00033AC1"/>
    <w:rsid w:val="000400EA"/>
    <w:rsid w:val="0004501B"/>
    <w:rsid w:val="0004780A"/>
    <w:rsid w:val="00052C4C"/>
    <w:rsid w:val="00066CEC"/>
    <w:rsid w:val="00074185"/>
    <w:rsid w:val="00074C13"/>
    <w:rsid w:val="00075942"/>
    <w:rsid w:val="0008130F"/>
    <w:rsid w:val="00081A80"/>
    <w:rsid w:val="00087381"/>
    <w:rsid w:val="00087B3B"/>
    <w:rsid w:val="000A0B90"/>
    <w:rsid w:val="000A35EF"/>
    <w:rsid w:val="000A4F9C"/>
    <w:rsid w:val="000A68B1"/>
    <w:rsid w:val="000B1B46"/>
    <w:rsid w:val="000B5908"/>
    <w:rsid w:val="000B6A68"/>
    <w:rsid w:val="000C1BCE"/>
    <w:rsid w:val="000C2528"/>
    <w:rsid w:val="000C2CCB"/>
    <w:rsid w:val="000C4A02"/>
    <w:rsid w:val="000D07D5"/>
    <w:rsid w:val="000D1B4B"/>
    <w:rsid w:val="000D59E4"/>
    <w:rsid w:val="000E0028"/>
    <w:rsid w:val="000E3A72"/>
    <w:rsid w:val="000F0527"/>
    <w:rsid w:val="000F2402"/>
    <w:rsid w:val="000F27D5"/>
    <w:rsid w:val="001008E8"/>
    <w:rsid w:val="0010196D"/>
    <w:rsid w:val="001020B9"/>
    <w:rsid w:val="00122553"/>
    <w:rsid w:val="00122E85"/>
    <w:rsid w:val="0012459C"/>
    <w:rsid w:val="00126B10"/>
    <w:rsid w:val="00137F0E"/>
    <w:rsid w:val="00152F5E"/>
    <w:rsid w:val="001704D5"/>
    <w:rsid w:val="00175E50"/>
    <w:rsid w:val="00180EA9"/>
    <w:rsid w:val="00191BD0"/>
    <w:rsid w:val="001956EA"/>
    <w:rsid w:val="001A2E82"/>
    <w:rsid w:val="001A3D2D"/>
    <w:rsid w:val="001A61CD"/>
    <w:rsid w:val="001B574A"/>
    <w:rsid w:val="001C3465"/>
    <w:rsid w:val="001D0358"/>
    <w:rsid w:val="001D3DB7"/>
    <w:rsid w:val="001E202B"/>
    <w:rsid w:val="001E2075"/>
    <w:rsid w:val="001E43A6"/>
    <w:rsid w:val="001E4502"/>
    <w:rsid w:val="001E523A"/>
    <w:rsid w:val="001F4345"/>
    <w:rsid w:val="001F5A2B"/>
    <w:rsid w:val="0020387A"/>
    <w:rsid w:val="0021662C"/>
    <w:rsid w:val="002217A6"/>
    <w:rsid w:val="00222521"/>
    <w:rsid w:val="00230D0D"/>
    <w:rsid w:val="00232732"/>
    <w:rsid w:val="00232837"/>
    <w:rsid w:val="00233754"/>
    <w:rsid w:val="00237DF6"/>
    <w:rsid w:val="00243D24"/>
    <w:rsid w:val="00246BA9"/>
    <w:rsid w:val="00252597"/>
    <w:rsid w:val="0025415C"/>
    <w:rsid w:val="00256E49"/>
    <w:rsid w:val="00267047"/>
    <w:rsid w:val="00272F3A"/>
    <w:rsid w:val="002731FC"/>
    <w:rsid w:val="00273E76"/>
    <w:rsid w:val="00276A11"/>
    <w:rsid w:val="00281821"/>
    <w:rsid w:val="00283C95"/>
    <w:rsid w:val="002A4147"/>
    <w:rsid w:val="002A611E"/>
    <w:rsid w:val="002A7804"/>
    <w:rsid w:val="002B385C"/>
    <w:rsid w:val="002B7965"/>
    <w:rsid w:val="002C22F2"/>
    <w:rsid w:val="002D2284"/>
    <w:rsid w:val="002D6A51"/>
    <w:rsid w:val="002E0847"/>
    <w:rsid w:val="002E6139"/>
    <w:rsid w:val="002F5E7B"/>
    <w:rsid w:val="002F6875"/>
    <w:rsid w:val="002F7E26"/>
    <w:rsid w:val="00301FD4"/>
    <w:rsid w:val="003116CB"/>
    <w:rsid w:val="0031603F"/>
    <w:rsid w:val="00322E54"/>
    <w:rsid w:val="00327534"/>
    <w:rsid w:val="00327551"/>
    <w:rsid w:val="00331FEA"/>
    <w:rsid w:val="00333E0A"/>
    <w:rsid w:val="00335845"/>
    <w:rsid w:val="00335C34"/>
    <w:rsid w:val="00347662"/>
    <w:rsid w:val="00352C76"/>
    <w:rsid w:val="0035326B"/>
    <w:rsid w:val="00355C38"/>
    <w:rsid w:val="00356F87"/>
    <w:rsid w:val="003630E4"/>
    <w:rsid w:val="00371489"/>
    <w:rsid w:val="0039393E"/>
    <w:rsid w:val="003A29BC"/>
    <w:rsid w:val="003B4DEF"/>
    <w:rsid w:val="003B7FC2"/>
    <w:rsid w:val="003E1D5C"/>
    <w:rsid w:val="003E32CD"/>
    <w:rsid w:val="00402E32"/>
    <w:rsid w:val="00404968"/>
    <w:rsid w:val="004115C7"/>
    <w:rsid w:val="00411AF2"/>
    <w:rsid w:val="004159ED"/>
    <w:rsid w:val="00417A83"/>
    <w:rsid w:val="004275AC"/>
    <w:rsid w:val="004316BC"/>
    <w:rsid w:val="0043467E"/>
    <w:rsid w:val="004400E9"/>
    <w:rsid w:val="004404AE"/>
    <w:rsid w:val="00442967"/>
    <w:rsid w:val="00444045"/>
    <w:rsid w:val="004470CE"/>
    <w:rsid w:val="0045356D"/>
    <w:rsid w:val="0045562A"/>
    <w:rsid w:val="00462039"/>
    <w:rsid w:val="004629CA"/>
    <w:rsid w:val="0046378C"/>
    <w:rsid w:val="00467222"/>
    <w:rsid w:val="004719C0"/>
    <w:rsid w:val="00473971"/>
    <w:rsid w:val="004759B9"/>
    <w:rsid w:val="004762D6"/>
    <w:rsid w:val="004765C6"/>
    <w:rsid w:val="0047741B"/>
    <w:rsid w:val="00480E50"/>
    <w:rsid w:val="004812E5"/>
    <w:rsid w:val="0048199A"/>
    <w:rsid w:val="00483088"/>
    <w:rsid w:val="00484CAD"/>
    <w:rsid w:val="004A6DD8"/>
    <w:rsid w:val="004B08BA"/>
    <w:rsid w:val="004B1F40"/>
    <w:rsid w:val="004B3C92"/>
    <w:rsid w:val="004B66EB"/>
    <w:rsid w:val="004B6BA1"/>
    <w:rsid w:val="004C196F"/>
    <w:rsid w:val="004C771B"/>
    <w:rsid w:val="004D30C1"/>
    <w:rsid w:val="004D7579"/>
    <w:rsid w:val="004E09EB"/>
    <w:rsid w:val="004E2FD6"/>
    <w:rsid w:val="004E7749"/>
    <w:rsid w:val="0051093C"/>
    <w:rsid w:val="00514D0B"/>
    <w:rsid w:val="005217B2"/>
    <w:rsid w:val="00530EDB"/>
    <w:rsid w:val="005343F9"/>
    <w:rsid w:val="00543E86"/>
    <w:rsid w:val="005451C9"/>
    <w:rsid w:val="005471E8"/>
    <w:rsid w:val="00554C51"/>
    <w:rsid w:val="00554F18"/>
    <w:rsid w:val="00556CAD"/>
    <w:rsid w:val="0055767A"/>
    <w:rsid w:val="005623EF"/>
    <w:rsid w:val="00572EBC"/>
    <w:rsid w:val="00575F3D"/>
    <w:rsid w:val="005778DB"/>
    <w:rsid w:val="00581FA9"/>
    <w:rsid w:val="00582554"/>
    <w:rsid w:val="00587273"/>
    <w:rsid w:val="00594B0F"/>
    <w:rsid w:val="00597066"/>
    <w:rsid w:val="005B4896"/>
    <w:rsid w:val="005C014D"/>
    <w:rsid w:val="005C6968"/>
    <w:rsid w:val="005C7814"/>
    <w:rsid w:val="005D496B"/>
    <w:rsid w:val="005E0BE4"/>
    <w:rsid w:val="005E50DC"/>
    <w:rsid w:val="005E577E"/>
    <w:rsid w:val="005F632A"/>
    <w:rsid w:val="005F63A4"/>
    <w:rsid w:val="005F7187"/>
    <w:rsid w:val="00601326"/>
    <w:rsid w:val="006017D6"/>
    <w:rsid w:val="00604BE2"/>
    <w:rsid w:val="00610274"/>
    <w:rsid w:val="00632126"/>
    <w:rsid w:val="006406A8"/>
    <w:rsid w:val="00641259"/>
    <w:rsid w:val="006442E6"/>
    <w:rsid w:val="006474BB"/>
    <w:rsid w:val="00650B6B"/>
    <w:rsid w:val="006548DA"/>
    <w:rsid w:val="00660DB5"/>
    <w:rsid w:val="00664AED"/>
    <w:rsid w:val="006709B3"/>
    <w:rsid w:val="006738BA"/>
    <w:rsid w:val="006744B1"/>
    <w:rsid w:val="00683479"/>
    <w:rsid w:val="006837FE"/>
    <w:rsid w:val="006844EC"/>
    <w:rsid w:val="00692C94"/>
    <w:rsid w:val="006A22E4"/>
    <w:rsid w:val="006A29EE"/>
    <w:rsid w:val="006A6CC7"/>
    <w:rsid w:val="006B1AEB"/>
    <w:rsid w:val="006C3C94"/>
    <w:rsid w:val="006C5EE0"/>
    <w:rsid w:val="006C7F6D"/>
    <w:rsid w:val="006D2DF6"/>
    <w:rsid w:val="006E28B3"/>
    <w:rsid w:val="006E2DD4"/>
    <w:rsid w:val="006E7751"/>
    <w:rsid w:val="006F52B4"/>
    <w:rsid w:val="006F6094"/>
    <w:rsid w:val="006F6911"/>
    <w:rsid w:val="006F7CE5"/>
    <w:rsid w:val="007055AC"/>
    <w:rsid w:val="00706F6D"/>
    <w:rsid w:val="00714AA3"/>
    <w:rsid w:val="00734F3E"/>
    <w:rsid w:val="00734FCC"/>
    <w:rsid w:val="007517B1"/>
    <w:rsid w:val="00755C44"/>
    <w:rsid w:val="00771EA9"/>
    <w:rsid w:val="00786B33"/>
    <w:rsid w:val="00786EB1"/>
    <w:rsid w:val="00787848"/>
    <w:rsid w:val="00792634"/>
    <w:rsid w:val="00793477"/>
    <w:rsid w:val="007941FE"/>
    <w:rsid w:val="007A3CC7"/>
    <w:rsid w:val="007A6730"/>
    <w:rsid w:val="007A6845"/>
    <w:rsid w:val="007A7CA1"/>
    <w:rsid w:val="007B2B15"/>
    <w:rsid w:val="007B2CFE"/>
    <w:rsid w:val="007B49BD"/>
    <w:rsid w:val="007B5FE1"/>
    <w:rsid w:val="007C49DC"/>
    <w:rsid w:val="007D0B78"/>
    <w:rsid w:val="007D7476"/>
    <w:rsid w:val="007E3B9C"/>
    <w:rsid w:val="007E3D50"/>
    <w:rsid w:val="007E4983"/>
    <w:rsid w:val="007F111D"/>
    <w:rsid w:val="007F2A91"/>
    <w:rsid w:val="007F69E4"/>
    <w:rsid w:val="007F6A83"/>
    <w:rsid w:val="007F6DB9"/>
    <w:rsid w:val="00800532"/>
    <w:rsid w:val="0080266D"/>
    <w:rsid w:val="00802C93"/>
    <w:rsid w:val="00804FA0"/>
    <w:rsid w:val="0080722D"/>
    <w:rsid w:val="00811534"/>
    <w:rsid w:val="00811A5A"/>
    <w:rsid w:val="00821E81"/>
    <w:rsid w:val="00824417"/>
    <w:rsid w:val="00830A2E"/>
    <w:rsid w:val="00830FC4"/>
    <w:rsid w:val="00831BD9"/>
    <w:rsid w:val="00834802"/>
    <w:rsid w:val="00845787"/>
    <w:rsid w:val="00857C21"/>
    <w:rsid w:val="00867700"/>
    <w:rsid w:val="008714F1"/>
    <w:rsid w:val="0087405B"/>
    <w:rsid w:val="00876507"/>
    <w:rsid w:val="00885B86"/>
    <w:rsid w:val="00894296"/>
    <w:rsid w:val="00894D87"/>
    <w:rsid w:val="008A5F18"/>
    <w:rsid w:val="008B7A7C"/>
    <w:rsid w:val="008C020C"/>
    <w:rsid w:val="008C04FB"/>
    <w:rsid w:val="008D3450"/>
    <w:rsid w:val="008F2FC5"/>
    <w:rsid w:val="008F5E0E"/>
    <w:rsid w:val="008F766A"/>
    <w:rsid w:val="009028F6"/>
    <w:rsid w:val="00902FE2"/>
    <w:rsid w:val="009031D1"/>
    <w:rsid w:val="009118B4"/>
    <w:rsid w:val="00915772"/>
    <w:rsid w:val="00921726"/>
    <w:rsid w:val="0092234C"/>
    <w:rsid w:val="00923277"/>
    <w:rsid w:val="00926E9A"/>
    <w:rsid w:val="009303F2"/>
    <w:rsid w:val="00935E98"/>
    <w:rsid w:val="009368AC"/>
    <w:rsid w:val="00937025"/>
    <w:rsid w:val="00942913"/>
    <w:rsid w:val="0095366B"/>
    <w:rsid w:val="00954B0E"/>
    <w:rsid w:val="00956853"/>
    <w:rsid w:val="00962017"/>
    <w:rsid w:val="00973841"/>
    <w:rsid w:val="00986106"/>
    <w:rsid w:val="009928D4"/>
    <w:rsid w:val="009939AC"/>
    <w:rsid w:val="009A3C86"/>
    <w:rsid w:val="009A6FA6"/>
    <w:rsid w:val="009B2E95"/>
    <w:rsid w:val="009C7C9E"/>
    <w:rsid w:val="009D5637"/>
    <w:rsid w:val="009D5C97"/>
    <w:rsid w:val="009D6E46"/>
    <w:rsid w:val="009D70BB"/>
    <w:rsid w:val="009D7249"/>
    <w:rsid w:val="009E13A7"/>
    <w:rsid w:val="00A04376"/>
    <w:rsid w:val="00A055E1"/>
    <w:rsid w:val="00A14254"/>
    <w:rsid w:val="00A20D2B"/>
    <w:rsid w:val="00A214C2"/>
    <w:rsid w:val="00A214D1"/>
    <w:rsid w:val="00A252DD"/>
    <w:rsid w:val="00A35C8D"/>
    <w:rsid w:val="00A35F86"/>
    <w:rsid w:val="00A41CE4"/>
    <w:rsid w:val="00A43E4D"/>
    <w:rsid w:val="00A54DF6"/>
    <w:rsid w:val="00A570DD"/>
    <w:rsid w:val="00A60DAF"/>
    <w:rsid w:val="00A62CAA"/>
    <w:rsid w:val="00A63366"/>
    <w:rsid w:val="00A66596"/>
    <w:rsid w:val="00A726A2"/>
    <w:rsid w:val="00A74F39"/>
    <w:rsid w:val="00A75D42"/>
    <w:rsid w:val="00A7725F"/>
    <w:rsid w:val="00A8694F"/>
    <w:rsid w:val="00A97669"/>
    <w:rsid w:val="00AA6C5B"/>
    <w:rsid w:val="00AC6D75"/>
    <w:rsid w:val="00AD11CD"/>
    <w:rsid w:val="00AD5C09"/>
    <w:rsid w:val="00AD7981"/>
    <w:rsid w:val="00AE0651"/>
    <w:rsid w:val="00AE73D3"/>
    <w:rsid w:val="00AF1520"/>
    <w:rsid w:val="00AF16C0"/>
    <w:rsid w:val="00B006A1"/>
    <w:rsid w:val="00B21ECE"/>
    <w:rsid w:val="00B24306"/>
    <w:rsid w:val="00B24741"/>
    <w:rsid w:val="00B2722F"/>
    <w:rsid w:val="00B32D5F"/>
    <w:rsid w:val="00B333D9"/>
    <w:rsid w:val="00B337C4"/>
    <w:rsid w:val="00B52977"/>
    <w:rsid w:val="00B575B4"/>
    <w:rsid w:val="00B6236F"/>
    <w:rsid w:val="00B668FF"/>
    <w:rsid w:val="00B73A36"/>
    <w:rsid w:val="00B8256D"/>
    <w:rsid w:val="00B8657C"/>
    <w:rsid w:val="00B90888"/>
    <w:rsid w:val="00B93B10"/>
    <w:rsid w:val="00B97527"/>
    <w:rsid w:val="00BA02D8"/>
    <w:rsid w:val="00BB3E10"/>
    <w:rsid w:val="00BB4DC8"/>
    <w:rsid w:val="00BB7434"/>
    <w:rsid w:val="00BC127A"/>
    <w:rsid w:val="00BC3C6B"/>
    <w:rsid w:val="00BC6F0F"/>
    <w:rsid w:val="00BD3D57"/>
    <w:rsid w:val="00BD52F5"/>
    <w:rsid w:val="00BE083B"/>
    <w:rsid w:val="00BE4611"/>
    <w:rsid w:val="00BF297B"/>
    <w:rsid w:val="00BF6F3A"/>
    <w:rsid w:val="00C05ABC"/>
    <w:rsid w:val="00C1277D"/>
    <w:rsid w:val="00C165EA"/>
    <w:rsid w:val="00C20C80"/>
    <w:rsid w:val="00C24875"/>
    <w:rsid w:val="00C32A75"/>
    <w:rsid w:val="00C34F7E"/>
    <w:rsid w:val="00C354E0"/>
    <w:rsid w:val="00C3745B"/>
    <w:rsid w:val="00C37D90"/>
    <w:rsid w:val="00C424E6"/>
    <w:rsid w:val="00C54AF3"/>
    <w:rsid w:val="00C6298D"/>
    <w:rsid w:val="00C73682"/>
    <w:rsid w:val="00C73808"/>
    <w:rsid w:val="00C7662D"/>
    <w:rsid w:val="00C80FFE"/>
    <w:rsid w:val="00C864A3"/>
    <w:rsid w:val="00CA2248"/>
    <w:rsid w:val="00CA4FC5"/>
    <w:rsid w:val="00CB1A8B"/>
    <w:rsid w:val="00CB2303"/>
    <w:rsid w:val="00CB385A"/>
    <w:rsid w:val="00CB677B"/>
    <w:rsid w:val="00CC0451"/>
    <w:rsid w:val="00CC49F9"/>
    <w:rsid w:val="00CC6F7D"/>
    <w:rsid w:val="00CD1598"/>
    <w:rsid w:val="00CD53A8"/>
    <w:rsid w:val="00CD6CDB"/>
    <w:rsid w:val="00CE0417"/>
    <w:rsid w:val="00CE4A6D"/>
    <w:rsid w:val="00CE526F"/>
    <w:rsid w:val="00CE6094"/>
    <w:rsid w:val="00D00CC9"/>
    <w:rsid w:val="00D0459A"/>
    <w:rsid w:val="00D05702"/>
    <w:rsid w:val="00D064B1"/>
    <w:rsid w:val="00D07631"/>
    <w:rsid w:val="00D24368"/>
    <w:rsid w:val="00D25FC4"/>
    <w:rsid w:val="00D2687C"/>
    <w:rsid w:val="00D27492"/>
    <w:rsid w:val="00D3701B"/>
    <w:rsid w:val="00D375AF"/>
    <w:rsid w:val="00D42DA9"/>
    <w:rsid w:val="00D453E5"/>
    <w:rsid w:val="00D5470F"/>
    <w:rsid w:val="00D551D1"/>
    <w:rsid w:val="00D62958"/>
    <w:rsid w:val="00D72868"/>
    <w:rsid w:val="00DA21E9"/>
    <w:rsid w:val="00DA4AD2"/>
    <w:rsid w:val="00DA68A9"/>
    <w:rsid w:val="00DB5215"/>
    <w:rsid w:val="00DC017A"/>
    <w:rsid w:val="00DC6B15"/>
    <w:rsid w:val="00DD4922"/>
    <w:rsid w:val="00DE2071"/>
    <w:rsid w:val="00DE45CF"/>
    <w:rsid w:val="00DE6963"/>
    <w:rsid w:val="00E03013"/>
    <w:rsid w:val="00E030BB"/>
    <w:rsid w:val="00E05074"/>
    <w:rsid w:val="00E13AF0"/>
    <w:rsid w:val="00E153A6"/>
    <w:rsid w:val="00E16FAD"/>
    <w:rsid w:val="00E22324"/>
    <w:rsid w:val="00E2566E"/>
    <w:rsid w:val="00E30BFC"/>
    <w:rsid w:val="00E30C05"/>
    <w:rsid w:val="00E45A75"/>
    <w:rsid w:val="00E45ADB"/>
    <w:rsid w:val="00E55117"/>
    <w:rsid w:val="00E5612F"/>
    <w:rsid w:val="00E648E6"/>
    <w:rsid w:val="00E65048"/>
    <w:rsid w:val="00E71CA3"/>
    <w:rsid w:val="00E84D9C"/>
    <w:rsid w:val="00EA06A1"/>
    <w:rsid w:val="00EA13C2"/>
    <w:rsid w:val="00EA3241"/>
    <w:rsid w:val="00EB63EE"/>
    <w:rsid w:val="00EC0B32"/>
    <w:rsid w:val="00EC3147"/>
    <w:rsid w:val="00ED32D9"/>
    <w:rsid w:val="00EE375E"/>
    <w:rsid w:val="00EE55AE"/>
    <w:rsid w:val="00EF08C8"/>
    <w:rsid w:val="00EF108B"/>
    <w:rsid w:val="00EF54DE"/>
    <w:rsid w:val="00F00305"/>
    <w:rsid w:val="00F011EF"/>
    <w:rsid w:val="00F063FA"/>
    <w:rsid w:val="00F101D3"/>
    <w:rsid w:val="00F125E7"/>
    <w:rsid w:val="00F149BA"/>
    <w:rsid w:val="00F15F89"/>
    <w:rsid w:val="00F32847"/>
    <w:rsid w:val="00F34C6D"/>
    <w:rsid w:val="00F3766A"/>
    <w:rsid w:val="00F427E7"/>
    <w:rsid w:val="00F4467E"/>
    <w:rsid w:val="00F50480"/>
    <w:rsid w:val="00F70E72"/>
    <w:rsid w:val="00F730BD"/>
    <w:rsid w:val="00F759BE"/>
    <w:rsid w:val="00F77099"/>
    <w:rsid w:val="00F77CD5"/>
    <w:rsid w:val="00F77DC3"/>
    <w:rsid w:val="00F91655"/>
    <w:rsid w:val="00F93CAC"/>
    <w:rsid w:val="00F945DD"/>
    <w:rsid w:val="00FA1934"/>
    <w:rsid w:val="00FA3670"/>
    <w:rsid w:val="00FA595B"/>
    <w:rsid w:val="00FA61D8"/>
    <w:rsid w:val="00FB27D0"/>
    <w:rsid w:val="00FB66E6"/>
    <w:rsid w:val="00FD0921"/>
    <w:rsid w:val="00FE2AE9"/>
    <w:rsid w:val="00FE7F37"/>
    <w:rsid w:val="00FF1D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9080F"/>
  <w15:chartTrackingRefBased/>
  <w15:docId w15:val="{A3F69B61-613C-4AB3-9EF5-5A394C2C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59"/>
    <w:pPr>
      <w:spacing w:after="160" w:line="259" w:lineRule="auto"/>
    </w:pPr>
    <w:rPr>
      <w:sz w:val="22"/>
      <w:szCs w:val="22"/>
      <w:lang w:eastAsia="en-US"/>
    </w:rPr>
  </w:style>
  <w:style w:type="paragraph" w:styleId="Ttulo1">
    <w:name w:val="heading 1"/>
    <w:basedOn w:val="Normal"/>
    <w:next w:val="Normal"/>
    <w:link w:val="Ttulo1Car"/>
    <w:uiPriority w:val="9"/>
    <w:qFormat/>
    <w:rsid w:val="00824417"/>
    <w:pPr>
      <w:keepNext/>
      <w:keepLines/>
      <w:spacing w:before="240" w:after="0"/>
      <w:outlineLvl w:val="0"/>
    </w:pPr>
    <w:rPr>
      <w:rFonts w:ascii="Arial" w:eastAsia="Times New Roman" w:hAnsi="Arial"/>
      <w:color w:val="2F5496"/>
      <w:sz w:val="32"/>
      <w:szCs w:val="32"/>
    </w:rPr>
  </w:style>
  <w:style w:type="paragraph" w:styleId="Ttulo2">
    <w:name w:val="heading 2"/>
    <w:basedOn w:val="Normal"/>
    <w:next w:val="Normal"/>
    <w:link w:val="Ttulo2Car"/>
    <w:uiPriority w:val="9"/>
    <w:unhideWhenUsed/>
    <w:qFormat/>
    <w:rsid w:val="00962017"/>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unhideWhenUsed/>
    <w:qFormat/>
    <w:rsid w:val="00962017"/>
    <w:pPr>
      <w:keepNext/>
      <w:spacing w:before="240" w:after="60"/>
      <w:outlineLvl w:val="2"/>
    </w:pPr>
    <w:rPr>
      <w:rFonts w:ascii="Calibri Light" w:eastAsia="Times New Roman" w:hAnsi="Calibri Light"/>
      <w:b/>
      <w:bCs/>
      <w:sz w:val="26"/>
      <w:szCs w:val="26"/>
    </w:rPr>
  </w:style>
  <w:style w:type="paragraph" w:styleId="Ttulo5">
    <w:name w:val="heading 5"/>
    <w:basedOn w:val="Normal"/>
    <w:next w:val="Normal"/>
    <w:link w:val="Ttulo5Car"/>
    <w:uiPriority w:val="9"/>
    <w:unhideWhenUsed/>
    <w:qFormat/>
    <w:rsid w:val="00962017"/>
    <w:pPr>
      <w:keepNext/>
      <w:keepLines/>
      <w:spacing w:before="40" w:after="0"/>
      <w:outlineLvl w:val="4"/>
    </w:pPr>
    <w:rPr>
      <w:rFonts w:ascii="Calibri Light" w:eastAsia="Times New Roman" w:hAnsi="Calibri Light"/>
      <w:color w:val="2F549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24417"/>
    <w:rPr>
      <w:rFonts w:ascii="Arial" w:eastAsia="Times New Roman" w:hAnsi="Arial"/>
      <w:color w:val="2F5496"/>
      <w:sz w:val="32"/>
      <w:szCs w:val="32"/>
      <w:lang w:val="es-CO"/>
    </w:rPr>
  </w:style>
  <w:style w:type="paragraph" w:styleId="Encabezado">
    <w:name w:val="header"/>
    <w:aliases w:val="Nivel 1"/>
    <w:basedOn w:val="Normal"/>
    <w:link w:val="EncabezadoCar"/>
    <w:unhideWhenUsed/>
    <w:rsid w:val="00962017"/>
    <w:pPr>
      <w:tabs>
        <w:tab w:val="center" w:pos="4419"/>
        <w:tab w:val="right" w:pos="8838"/>
      </w:tabs>
      <w:spacing w:after="0" w:line="240" w:lineRule="auto"/>
    </w:pPr>
  </w:style>
  <w:style w:type="character" w:customStyle="1" w:styleId="EncabezadoCar">
    <w:name w:val="Encabezado Car"/>
    <w:aliases w:val="Nivel 1 Car"/>
    <w:link w:val="Encabezado"/>
    <w:rsid w:val="00962017"/>
    <w:rPr>
      <w:rFonts w:ascii="Calibri" w:eastAsia="Calibri" w:hAnsi="Calibri" w:cs="Times New Roman"/>
    </w:rPr>
  </w:style>
  <w:style w:type="paragraph" w:styleId="Piedepgina">
    <w:name w:val="footer"/>
    <w:basedOn w:val="Normal"/>
    <w:link w:val="PiedepginaCar"/>
    <w:uiPriority w:val="99"/>
    <w:unhideWhenUsed/>
    <w:rsid w:val="00962017"/>
    <w:pPr>
      <w:tabs>
        <w:tab w:val="center" w:pos="4419"/>
        <w:tab w:val="right" w:pos="8838"/>
      </w:tabs>
      <w:spacing w:after="0" w:line="240" w:lineRule="auto"/>
    </w:pPr>
  </w:style>
  <w:style w:type="character" w:customStyle="1" w:styleId="PiedepginaCar">
    <w:name w:val="Pie de página Car"/>
    <w:link w:val="Piedepgina"/>
    <w:uiPriority w:val="99"/>
    <w:rsid w:val="00962017"/>
    <w:rPr>
      <w:rFonts w:ascii="Calibri" w:eastAsia="Calibri" w:hAnsi="Calibri" w:cs="Times New Roman"/>
    </w:rPr>
  </w:style>
  <w:style w:type="character" w:customStyle="1" w:styleId="Ttulo5Car">
    <w:name w:val="Título 5 Car"/>
    <w:link w:val="Ttulo5"/>
    <w:uiPriority w:val="9"/>
    <w:rsid w:val="00962017"/>
    <w:rPr>
      <w:rFonts w:ascii="Calibri Light" w:eastAsia="Times New Roman" w:hAnsi="Calibri Light" w:cs="Times New Roman"/>
      <w:color w:val="2F5496"/>
    </w:rPr>
  </w:style>
  <w:style w:type="character" w:customStyle="1" w:styleId="Ttulo2Car">
    <w:name w:val="Título 2 Car"/>
    <w:link w:val="Ttulo2"/>
    <w:uiPriority w:val="9"/>
    <w:rsid w:val="00962017"/>
    <w:rPr>
      <w:rFonts w:ascii="Calibri Light" w:eastAsia="Times New Roman" w:hAnsi="Calibri Light" w:cs="Times New Roman"/>
      <w:b/>
      <w:bCs/>
      <w:i/>
      <w:iCs/>
      <w:sz w:val="28"/>
      <w:szCs w:val="28"/>
    </w:rPr>
  </w:style>
  <w:style w:type="character" w:customStyle="1" w:styleId="Ttulo3Car">
    <w:name w:val="Título 3 Car"/>
    <w:link w:val="Ttulo3"/>
    <w:uiPriority w:val="9"/>
    <w:rsid w:val="00962017"/>
    <w:rPr>
      <w:rFonts w:ascii="Calibri Light" w:eastAsia="Times New Roman" w:hAnsi="Calibri Light" w:cs="Times New Roman"/>
      <w:b/>
      <w:bCs/>
      <w:sz w:val="26"/>
      <w:szCs w:val="26"/>
    </w:rPr>
  </w:style>
  <w:style w:type="paragraph" w:styleId="Subttulo">
    <w:name w:val="Subtitle"/>
    <w:basedOn w:val="Normal"/>
    <w:next w:val="Normal"/>
    <w:link w:val="SubttuloCar"/>
    <w:qFormat/>
    <w:rsid w:val="00962017"/>
    <w:pPr>
      <w:numPr>
        <w:ilvl w:val="1"/>
      </w:numPr>
      <w:spacing w:after="240" w:line="240" w:lineRule="auto"/>
    </w:pPr>
    <w:rPr>
      <w:rFonts w:ascii="Calibri Light" w:eastAsia="Times New Roman" w:hAnsi="Calibri Light"/>
      <w:color w:val="4472C4"/>
      <w:sz w:val="28"/>
      <w:szCs w:val="28"/>
    </w:rPr>
  </w:style>
  <w:style w:type="character" w:customStyle="1" w:styleId="SubttuloCar">
    <w:name w:val="Subtítulo Car"/>
    <w:link w:val="Subttulo"/>
    <w:rsid w:val="00962017"/>
    <w:rPr>
      <w:rFonts w:ascii="Calibri Light" w:eastAsia="Times New Roman" w:hAnsi="Calibri Light" w:cs="Times New Roman"/>
      <w:color w:val="4472C4"/>
      <w:sz w:val="28"/>
      <w:szCs w:val="28"/>
    </w:rPr>
  </w:style>
  <w:style w:type="paragraph" w:styleId="Textoindependiente2">
    <w:name w:val="Body Text 2"/>
    <w:basedOn w:val="Normal"/>
    <w:link w:val="Textoindependiente2Car"/>
    <w:rsid w:val="00962017"/>
    <w:pPr>
      <w:spacing w:after="0" w:line="240" w:lineRule="auto"/>
      <w:jc w:val="both"/>
    </w:pPr>
    <w:rPr>
      <w:rFonts w:ascii="Arial" w:eastAsia="Times New Roman" w:hAnsi="Arial"/>
      <w:sz w:val="18"/>
      <w:szCs w:val="20"/>
      <w:lang w:val="es-ES" w:eastAsia="es-CO"/>
    </w:rPr>
  </w:style>
  <w:style w:type="character" w:customStyle="1" w:styleId="Textoindependiente2Car">
    <w:name w:val="Texto independiente 2 Car"/>
    <w:link w:val="Textoindependiente2"/>
    <w:rsid w:val="00962017"/>
    <w:rPr>
      <w:rFonts w:ascii="Arial" w:eastAsia="Times New Roman" w:hAnsi="Arial" w:cs="Times New Roman"/>
      <w:sz w:val="18"/>
      <w:szCs w:val="20"/>
      <w:lang w:val="es-ES" w:eastAsia="es-CO"/>
    </w:rPr>
  </w:style>
  <w:style w:type="paragraph" w:styleId="Textonotapie">
    <w:name w:val="footnote text"/>
    <w:basedOn w:val="Normal"/>
    <w:link w:val="TextonotapieCar"/>
    <w:semiHidden/>
    <w:unhideWhenUsed/>
    <w:rsid w:val="00962017"/>
    <w:rPr>
      <w:rFonts w:eastAsia="Times New Roman"/>
      <w:sz w:val="20"/>
      <w:szCs w:val="20"/>
    </w:rPr>
  </w:style>
  <w:style w:type="character" w:customStyle="1" w:styleId="TextonotapieCar">
    <w:name w:val="Texto nota pie Car"/>
    <w:link w:val="Textonotapie"/>
    <w:semiHidden/>
    <w:rsid w:val="00962017"/>
    <w:rPr>
      <w:rFonts w:ascii="Calibri" w:eastAsia="Times New Roman" w:hAnsi="Calibri" w:cs="Times New Roman"/>
      <w:sz w:val="20"/>
      <w:szCs w:val="20"/>
    </w:rPr>
  </w:style>
  <w:style w:type="character" w:styleId="Refdenotaalpie">
    <w:name w:val="footnote reference"/>
    <w:semiHidden/>
    <w:unhideWhenUsed/>
    <w:rsid w:val="00962017"/>
    <w:rPr>
      <w:vertAlign w:val="superscript"/>
    </w:rPr>
  </w:style>
  <w:style w:type="paragraph" w:styleId="NormalWeb">
    <w:name w:val="Normal (Web)"/>
    <w:basedOn w:val="Normal"/>
    <w:uiPriority w:val="99"/>
    <w:unhideWhenUsed/>
    <w:rsid w:val="00962017"/>
    <w:pPr>
      <w:spacing w:before="100" w:beforeAutospacing="1" w:after="100" w:afterAutospacing="1" w:line="240" w:lineRule="auto"/>
    </w:pPr>
    <w:rPr>
      <w:rFonts w:ascii="Times New Roman" w:eastAsia="Times New Roman" w:hAnsi="Times New Roman"/>
      <w:sz w:val="24"/>
      <w:szCs w:val="24"/>
      <w:lang w:eastAsia="es-CO"/>
    </w:rPr>
  </w:style>
  <w:style w:type="character" w:styleId="Nmerodepgina">
    <w:name w:val="page number"/>
    <w:semiHidden/>
    <w:rsid w:val="00962017"/>
    <w:rPr>
      <w:rFonts w:cs="Times New Roman"/>
    </w:rPr>
  </w:style>
  <w:style w:type="paragraph" w:customStyle="1" w:styleId="Default">
    <w:name w:val="Default"/>
    <w:rsid w:val="00962017"/>
    <w:pPr>
      <w:autoSpaceDE w:val="0"/>
      <w:autoSpaceDN w:val="0"/>
      <w:adjustRightInd w:val="0"/>
    </w:pPr>
    <w:rPr>
      <w:rFonts w:ascii="Arial" w:hAnsi="Arial" w:cs="Arial"/>
      <w:color w:val="000000"/>
      <w:sz w:val="24"/>
      <w:szCs w:val="24"/>
      <w:lang w:val="es-ES" w:eastAsia="es-ES"/>
    </w:rPr>
  </w:style>
  <w:style w:type="character" w:styleId="Refdecomentario">
    <w:name w:val="annotation reference"/>
    <w:uiPriority w:val="99"/>
    <w:semiHidden/>
    <w:unhideWhenUsed/>
    <w:rsid w:val="00962017"/>
    <w:rPr>
      <w:sz w:val="16"/>
      <w:szCs w:val="16"/>
    </w:rPr>
  </w:style>
  <w:style w:type="paragraph" w:styleId="Textocomentario">
    <w:name w:val="annotation text"/>
    <w:basedOn w:val="Normal"/>
    <w:link w:val="TextocomentarioCar"/>
    <w:unhideWhenUsed/>
    <w:rsid w:val="00962017"/>
    <w:rPr>
      <w:rFonts w:eastAsia="Times New Roman"/>
      <w:sz w:val="20"/>
      <w:szCs w:val="20"/>
    </w:rPr>
  </w:style>
  <w:style w:type="character" w:customStyle="1" w:styleId="TextocomentarioCar">
    <w:name w:val="Texto comentario Car"/>
    <w:link w:val="Textocomentario"/>
    <w:rsid w:val="00962017"/>
    <w:rPr>
      <w:rFonts w:ascii="Calibri" w:eastAsia="Times New Roman"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962017"/>
    <w:rPr>
      <w:b/>
      <w:bCs/>
    </w:rPr>
  </w:style>
  <w:style w:type="character" w:customStyle="1" w:styleId="AsuntodelcomentarioCar">
    <w:name w:val="Asunto del comentario Car"/>
    <w:link w:val="Asuntodelcomentario"/>
    <w:uiPriority w:val="99"/>
    <w:semiHidden/>
    <w:rsid w:val="00962017"/>
    <w:rPr>
      <w:rFonts w:ascii="Calibri" w:eastAsia="Times New Roman" w:hAnsi="Calibri" w:cs="Times New Roman"/>
      <w:b/>
      <w:bCs/>
      <w:sz w:val="20"/>
      <w:szCs w:val="20"/>
    </w:rPr>
  </w:style>
  <w:style w:type="paragraph" w:styleId="Textodeglobo">
    <w:name w:val="Balloon Text"/>
    <w:basedOn w:val="Normal"/>
    <w:link w:val="TextodegloboCar"/>
    <w:uiPriority w:val="99"/>
    <w:semiHidden/>
    <w:unhideWhenUsed/>
    <w:rsid w:val="00962017"/>
    <w:pPr>
      <w:spacing w:after="0" w:line="240" w:lineRule="auto"/>
    </w:pPr>
    <w:rPr>
      <w:rFonts w:ascii="Segoe UI" w:eastAsia="Times New Roman" w:hAnsi="Segoe UI" w:cs="Segoe UI"/>
      <w:sz w:val="18"/>
      <w:szCs w:val="18"/>
    </w:rPr>
  </w:style>
  <w:style w:type="character" w:customStyle="1" w:styleId="TextodegloboCar">
    <w:name w:val="Texto de globo Car"/>
    <w:link w:val="Textodeglobo"/>
    <w:uiPriority w:val="99"/>
    <w:semiHidden/>
    <w:rsid w:val="00962017"/>
    <w:rPr>
      <w:rFonts w:ascii="Segoe UI" w:eastAsia="Times New Roman" w:hAnsi="Segoe UI" w:cs="Segoe UI"/>
      <w:sz w:val="18"/>
      <w:szCs w:val="18"/>
    </w:rPr>
  </w:style>
  <w:style w:type="paragraph" w:styleId="Prrafodelista">
    <w:name w:val="List Paragraph"/>
    <w:basedOn w:val="Normal"/>
    <w:link w:val="PrrafodelistaCar"/>
    <w:uiPriority w:val="34"/>
    <w:qFormat/>
    <w:rsid w:val="00962017"/>
    <w:pPr>
      <w:ind w:left="708"/>
    </w:pPr>
    <w:rPr>
      <w:rFonts w:eastAsia="Times New Roman"/>
    </w:rPr>
  </w:style>
  <w:style w:type="character" w:customStyle="1" w:styleId="PrrafodelistaCar">
    <w:name w:val="Párrafo de lista Car"/>
    <w:link w:val="Prrafodelista"/>
    <w:uiPriority w:val="34"/>
    <w:rsid w:val="00962017"/>
    <w:rPr>
      <w:rFonts w:ascii="Calibri" w:eastAsia="Times New Roman" w:hAnsi="Calibri" w:cs="Times New Roman"/>
    </w:rPr>
  </w:style>
  <w:style w:type="paragraph" w:styleId="Sinespaciado">
    <w:name w:val="No Spacing"/>
    <w:uiPriority w:val="1"/>
    <w:qFormat/>
    <w:rsid w:val="00962017"/>
    <w:rPr>
      <w:rFonts w:eastAsia="Times New Roman"/>
      <w:sz w:val="22"/>
      <w:szCs w:val="22"/>
      <w:lang w:eastAsia="en-US"/>
    </w:rPr>
  </w:style>
  <w:style w:type="paragraph" w:customStyle="1" w:styleId="a">
    <w:basedOn w:val="Ttulo1"/>
    <w:next w:val="Normal"/>
    <w:uiPriority w:val="39"/>
    <w:unhideWhenUsed/>
    <w:qFormat/>
    <w:rsid w:val="00962017"/>
    <w:pPr>
      <w:outlineLvl w:val="9"/>
    </w:pPr>
    <w:rPr>
      <w:color w:val="2E74B5"/>
      <w:lang w:eastAsia="es-CO"/>
    </w:rPr>
  </w:style>
  <w:style w:type="paragraph" w:styleId="TDC1">
    <w:name w:val="toc 1"/>
    <w:basedOn w:val="Normal"/>
    <w:next w:val="Normal"/>
    <w:autoRedefine/>
    <w:uiPriority w:val="39"/>
    <w:unhideWhenUsed/>
    <w:rsid w:val="00C165EA"/>
    <w:pPr>
      <w:tabs>
        <w:tab w:val="left" w:pos="440"/>
        <w:tab w:val="right" w:leader="dot" w:pos="8828"/>
      </w:tabs>
      <w:spacing w:after="0" w:line="240" w:lineRule="auto"/>
    </w:pPr>
    <w:rPr>
      <w:rFonts w:ascii="Calibri Light" w:eastAsia="Times New Roman" w:hAnsi="Calibri Light"/>
      <w:b/>
      <w:bCs/>
      <w:caps/>
      <w:sz w:val="24"/>
      <w:szCs w:val="24"/>
    </w:rPr>
  </w:style>
  <w:style w:type="character" w:styleId="Hipervnculo">
    <w:name w:val="Hyperlink"/>
    <w:uiPriority w:val="99"/>
    <w:unhideWhenUsed/>
    <w:rsid w:val="00962017"/>
    <w:rPr>
      <w:color w:val="0563C1"/>
      <w:u w:val="single"/>
    </w:rPr>
  </w:style>
  <w:style w:type="paragraph" w:styleId="TDC2">
    <w:name w:val="toc 2"/>
    <w:basedOn w:val="Normal"/>
    <w:next w:val="Normal"/>
    <w:autoRedefine/>
    <w:uiPriority w:val="39"/>
    <w:unhideWhenUsed/>
    <w:rsid w:val="00962017"/>
    <w:pPr>
      <w:spacing w:before="240" w:after="0"/>
    </w:pPr>
    <w:rPr>
      <w:rFonts w:eastAsia="Times New Roman" w:cs="Calibri"/>
      <w:b/>
      <w:bCs/>
      <w:sz w:val="20"/>
      <w:szCs w:val="20"/>
    </w:rPr>
  </w:style>
  <w:style w:type="paragraph" w:styleId="TDC3">
    <w:name w:val="toc 3"/>
    <w:basedOn w:val="Normal"/>
    <w:next w:val="Normal"/>
    <w:autoRedefine/>
    <w:uiPriority w:val="39"/>
    <w:unhideWhenUsed/>
    <w:rsid w:val="00962017"/>
    <w:pPr>
      <w:spacing w:after="0"/>
      <w:ind w:left="220"/>
    </w:pPr>
    <w:rPr>
      <w:rFonts w:eastAsia="Times New Roman" w:cs="Calibri"/>
      <w:sz w:val="20"/>
      <w:szCs w:val="20"/>
    </w:rPr>
  </w:style>
  <w:style w:type="paragraph" w:styleId="TDC4">
    <w:name w:val="toc 4"/>
    <w:basedOn w:val="Normal"/>
    <w:next w:val="Normal"/>
    <w:autoRedefine/>
    <w:uiPriority w:val="39"/>
    <w:unhideWhenUsed/>
    <w:rsid w:val="00962017"/>
    <w:pPr>
      <w:spacing w:after="0"/>
      <w:ind w:left="440"/>
    </w:pPr>
    <w:rPr>
      <w:rFonts w:eastAsia="Times New Roman" w:cs="Calibri"/>
      <w:sz w:val="20"/>
      <w:szCs w:val="20"/>
    </w:rPr>
  </w:style>
  <w:style w:type="paragraph" w:styleId="TDC5">
    <w:name w:val="toc 5"/>
    <w:basedOn w:val="Normal"/>
    <w:next w:val="Normal"/>
    <w:autoRedefine/>
    <w:uiPriority w:val="39"/>
    <w:unhideWhenUsed/>
    <w:rsid w:val="00962017"/>
    <w:pPr>
      <w:spacing w:after="0"/>
      <w:ind w:left="660"/>
    </w:pPr>
    <w:rPr>
      <w:rFonts w:eastAsia="Times New Roman" w:cs="Calibri"/>
      <w:sz w:val="20"/>
      <w:szCs w:val="20"/>
    </w:rPr>
  </w:style>
  <w:style w:type="paragraph" w:styleId="TDC6">
    <w:name w:val="toc 6"/>
    <w:basedOn w:val="Normal"/>
    <w:next w:val="Normal"/>
    <w:autoRedefine/>
    <w:uiPriority w:val="39"/>
    <w:unhideWhenUsed/>
    <w:rsid w:val="00962017"/>
    <w:pPr>
      <w:spacing w:after="0"/>
      <w:ind w:left="880"/>
    </w:pPr>
    <w:rPr>
      <w:rFonts w:eastAsia="Times New Roman" w:cs="Calibri"/>
      <w:sz w:val="20"/>
      <w:szCs w:val="20"/>
    </w:rPr>
  </w:style>
  <w:style w:type="paragraph" w:styleId="TDC7">
    <w:name w:val="toc 7"/>
    <w:basedOn w:val="Normal"/>
    <w:next w:val="Normal"/>
    <w:autoRedefine/>
    <w:uiPriority w:val="39"/>
    <w:unhideWhenUsed/>
    <w:rsid w:val="00962017"/>
    <w:pPr>
      <w:spacing w:after="0"/>
      <w:ind w:left="1100"/>
    </w:pPr>
    <w:rPr>
      <w:rFonts w:eastAsia="Times New Roman" w:cs="Calibri"/>
      <w:sz w:val="20"/>
      <w:szCs w:val="20"/>
    </w:rPr>
  </w:style>
  <w:style w:type="paragraph" w:styleId="TDC8">
    <w:name w:val="toc 8"/>
    <w:basedOn w:val="Normal"/>
    <w:next w:val="Normal"/>
    <w:autoRedefine/>
    <w:uiPriority w:val="39"/>
    <w:unhideWhenUsed/>
    <w:rsid w:val="00962017"/>
    <w:pPr>
      <w:spacing w:after="0"/>
      <w:ind w:left="1320"/>
    </w:pPr>
    <w:rPr>
      <w:rFonts w:eastAsia="Times New Roman" w:cs="Calibri"/>
      <w:sz w:val="20"/>
      <w:szCs w:val="20"/>
    </w:rPr>
  </w:style>
  <w:style w:type="paragraph" w:styleId="TDC9">
    <w:name w:val="toc 9"/>
    <w:basedOn w:val="Normal"/>
    <w:next w:val="Normal"/>
    <w:autoRedefine/>
    <w:uiPriority w:val="39"/>
    <w:unhideWhenUsed/>
    <w:rsid w:val="00962017"/>
    <w:pPr>
      <w:spacing w:after="0"/>
      <w:ind w:left="1540"/>
    </w:pPr>
    <w:rPr>
      <w:rFonts w:eastAsia="Times New Roman" w:cs="Calibri"/>
      <w:sz w:val="20"/>
      <w:szCs w:val="20"/>
    </w:rPr>
  </w:style>
  <w:style w:type="paragraph" w:styleId="TtuloTDC">
    <w:name w:val="TOC Heading"/>
    <w:basedOn w:val="Ttulo1"/>
    <w:next w:val="Normal"/>
    <w:uiPriority w:val="39"/>
    <w:unhideWhenUsed/>
    <w:qFormat/>
    <w:rsid w:val="005F7187"/>
    <w:pPr>
      <w:outlineLvl w:val="9"/>
    </w:pPr>
    <w:rPr>
      <w:rFonts w:ascii="Calibri Light" w:hAnsi="Calibri Light"/>
      <w:lang w:eastAsia="es-CO"/>
    </w:rPr>
  </w:style>
  <w:style w:type="character" w:styleId="Textoennegrita">
    <w:name w:val="Strong"/>
    <w:uiPriority w:val="22"/>
    <w:qFormat/>
    <w:rsid w:val="00E45A75"/>
    <w:rPr>
      <w:b/>
      <w:bCs/>
    </w:rPr>
  </w:style>
  <w:style w:type="table" w:styleId="Tablaconcuadrcula">
    <w:name w:val="Table Grid"/>
    <w:basedOn w:val="Tablanormal"/>
    <w:uiPriority w:val="39"/>
    <w:rsid w:val="00CD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1E4502"/>
    <w:pPr>
      <w:spacing w:after="120"/>
    </w:pPr>
  </w:style>
  <w:style w:type="character" w:customStyle="1" w:styleId="TextoindependienteCar">
    <w:name w:val="Texto independiente Car"/>
    <w:link w:val="Textoindependiente"/>
    <w:uiPriority w:val="99"/>
    <w:rsid w:val="001E4502"/>
    <w:rPr>
      <w:sz w:val="22"/>
      <w:szCs w:val="22"/>
      <w:lang w:val="es-CO"/>
    </w:rPr>
  </w:style>
  <w:style w:type="paragraph" w:styleId="Textoindependiente3">
    <w:name w:val="Body Text 3"/>
    <w:basedOn w:val="Normal"/>
    <w:link w:val="Textoindependiente3Car"/>
    <w:uiPriority w:val="99"/>
    <w:semiHidden/>
    <w:unhideWhenUsed/>
    <w:rsid w:val="00FA61D8"/>
    <w:pPr>
      <w:spacing w:after="120"/>
    </w:pPr>
    <w:rPr>
      <w:sz w:val="16"/>
      <w:szCs w:val="16"/>
    </w:rPr>
  </w:style>
  <w:style w:type="character" w:customStyle="1" w:styleId="Textoindependiente3Car">
    <w:name w:val="Texto independiente 3 Car"/>
    <w:link w:val="Textoindependiente3"/>
    <w:uiPriority w:val="99"/>
    <w:semiHidden/>
    <w:rsid w:val="00FA61D8"/>
    <w:rPr>
      <w:sz w:val="16"/>
      <w:szCs w:val="16"/>
      <w:lang w:val="es-CO"/>
    </w:rPr>
  </w:style>
  <w:style w:type="paragraph" w:styleId="Sangradetextonormal">
    <w:name w:val="Body Text Indent"/>
    <w:basedOn w:val="Normal"/>
    <w:link w:val="SangradetextonormalCar"/>
    <w:uiPriority w:val="99"/>
    <w:unhideWhenUsed/>
    <w:rsid w:val="00811534"/>
    <w:pPr>
      <w:spacing w:after="120" w:line="240" w:lineRule="auto"/>
      <w:ind w:left="283"/>
      <w:jc w:val="both"/>
    </w:pPr>
    <w:rPr>
      <w:rFonts w:ascii="Arial" w:eastAsia="MS Mincho" w:hAnsi="Arial"/>
      <w:sz w:val="24"/>
      <w:lang w:val="es-ES"/>
    </w:rPr>
  </w:style>
  <w:style w:type="character" w:customStyle="1" w:styleId="SangradetextonormalCar">
    <w:name w:val="Sangría de texto normal Car"/>
    <w:link w:val="Sangradetextonormal"/>
    <w:uiPriority w:val="99"/>
    <w:rsid w:val="00811534"/>
    <w:rPr>
      <w:rFonts w:ascii="Arial" w:eastAsia="MS Mincho" w:hAnsi="Arial"/>
      <w:sz w:val="24"/>
      <w:szCs w:val="22"/>
      <w:lang w:val="es-ES"/>
    </w:rPr>
  </w:style>
  <w:style w:type="paragraph" w:styleId="Sangra3detindependiente">
    <w:name w:val="Body Text Indent 3"/>
    <w:basedOn w:val="Normal"/>
    <w:link w:val="Sangra3detindependienteCar"/>
    <w:uiPriority w:val="99"/>
    <w:semiHidden/>
    <w:unhideWhenUsed/>
    <w:rsid w:val="004C196F"/>
    <w:pPr>
      <w:spacing w:after="120" w:line="240" w:lineRule="auto"/>
      <w:ind w:left="283"/>
      <w:jc w:val="both"/>
    </w:pPr>
    <w:rPr>
      <w:rFonts w:ascii="Arial" w:eastAsia="MS Mincho" w:hAnsi="Arial"/>
      <w:sz w:val="16"/>
      <w:szCs w:val="16"/>
      <w:lang w:val="es-ES"/>
    </w:rPr>
  </w:style>
  <w:style w:type="character" w:customStyle="1" w:styleId="Sangra3detindependienteCar">
    <w:name w:val="Sangría 3 de t. independiente Car"/>
    <w:link w:val="Sangra3detindependiente"/>
    <w:uiPriority w:val="99"/>
    <w:semiHidden/>
    <w:rsid w:val="004C196F"/>
    <w:rPr>
      <w:rFonts w:ascii="Arial" w:eastAsia="MS Mincho" w:hAnsi="Arial"/>
      <w:sz w:val="16"/>
      <w:szCs w:val="16"/>
      <w:lang w:val="es-ES"/>
    </w:rPr>
  </w:style>
  <w:style w:type="paragraph" w:customStyle="1" w:styleId="Piedepgina1">
    <w:name w:val="Pie de página1"/>
    <w:basedOn w:val="Normal"/>
    <w:next w:val="Piedepgina"/>
    <w:uiPriority w:val="99"/>
    <w:unhideWhenUsed/>
    <w:rsid w:val="00D00CC9"/>
    <w:pPr>
      <w:tabs>
        <w:tab w:val="center" w:pos="4419"/>
        <w:tab w:val="right" w:pos="8838"/>
      </w:tabs>
      <w:spacing w:after="0" w:line="240" w:lineRule="auto"/>
      <w:jc w:val="both"/>
    </w:pPr>
    <w:rPr>
      <w:rFonts w:ascii="Arial Narrow" w:eastAsia="Times New Roman" w:hAnsi="Arial Narrow" w:cs="Arial"/>
      <w:lang w:val="es-419"/>
    </w:rPr>
  </w:style>
  <w:style w:type="paragraph" w:customStyle="1" w:styleId="Estilo">
    <w:name w:val="Estilo"/>
    <w:rsid w:val="00D00CC9"/>
    <w:pPr>
      <w:widowControl w:val="0"/>
      <w:autoSpaceDE w:val="0"/>
      <w:autoSpaceDN w:val="0"/>
      <w:adjustRightInd w:val="0"/>
    </w:pPr>
    <w:rPr>
      <w:rFonts w:ascii="Arial" w:eastAsia="Times New Roman" w:hAnsi="Arial" w:cs="Arial"/>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3944">
      <w:bodyDiv w:val="1"/>
      <w:marLeft w:val="0"/>
      <w:marRight w:val="0"/>
      <w:marTop w:val="0"/>
      <w:marBottom w:val="0"/>
      <w:divBdr>
        <w:top w:val="none" w:sz="0" w:space="0" w:color="auto"/>
        <w:left w:val="none" w:sz="0" w:space="0" w:color="auto"/>
        <w:bottom w:val="none" w:sz="0" w:space="0" w:color="auto"/>
        <w:right w:val="none" w:sz="0" w:space="0" w:color="auto"/>
      </w:divBdr>
    </w:div>
    <w:div w:id="381291054">
      <w:bodyDiv w:val="1"/>
      <w:marLeft w:val="0"/>
      <w:marRight w:val="0"/>
      <w:marTop w:val="0"/>
      <w:marBottom w:val="0"/>
      <w:divBdr>
        <w:top w:val="none" w:sz="0" w:space="0" w:color="auto"/>
        <w:left w:val="none" w:sz="0" w:space="0" w:color="auto"/>
        <w:bottom w:val="none" w:sz="0" w:space="0" w:color="auto"/>
        <w:right w:val="none" w:sz="0" w:space="0" w:color="auto"/>
      </w:divBdr>
    </w:div>
    <w:div w:id="644166291">
      <w:bodyDiv w:val="1"/>
      <w:marLeft w:val="0"/>
      <w:marRight w:val="0"/>
      <w:marTop w:val="0"/>
      <w:marBottom w:val="0"/>
      <w:divBdr>
        <w:top w:val="none" w:sz="0" w:space="0" w:color="auto"/>
        <w:left w:val="none" w:sz="0" w:space="0" w:color="auto"/>
        <w:bottom w:val="none" w:sz="0" w:space="0" w:color="auto"/>
        <w:right w:val="none" w:sz="0" w:space="0" w:color="auto"/>
      </w:divBdr>
    </w:div>
    <w:div w:id="834104557">
      <w:bodyDiv w:val="1"/>
      <w:marLeft w:val="0"/>
      <w:marRight w:val="0"/>
      <w:marTop w:val="0"/>
      <w:marBottom w:val="0"/>
      <w:divBdr>
        <w:top w:val="none" w:sz="0" w:space="0" w:color="auto"/>
        <w:left w:val="none" w:sz="0" w:space="0" w:color="auto"/>
        <w:bottom w:val="none" w:sz="0" w:space="0" w:color="auto"/>
        <w:right w:val="none" w:sz="0" w:space="0" w:color="auto"/>
      </w:divBdr>
    </w:div>
    <w:div w:id="957957583">
      <w:bodyDiv w:val="1"/>
      <w:marLeft w:val="0"/>
      <w:marRight w:val="0"/>
      <w:marTop w:val="0"/>
      <w:marBottom w:val="0"/>
      <w:divBdr>
        <w:top w:val="none" w:sz="0" w:space="0" w:color="auto"/>
        <w:left w:val="none" w:sz="0" w:space="0" w:color="auto"/>
        <w:bottom w:val="none" w:sz="0" w:space="0" w:color="auto"/>
        <w:right w:val="none" w:sz="0" w:space="0" w:color="auto"/>
      </w:divBdr>
    </w:div>
    <w:div w:id="1004473109">
      <w:bodyDiv w:val="1"/>
      <w:marLeft w:val="0"/>
      <w:marRight w:val="0"/>
      <w:marTop w:val="0"/>
      <w:marBottom w:val="0"/>
      <w:divBdr>
        <w:top w:val="none" w:sz="0" w:space="0" w:color="auto"/>
        <w:left w:val="none" w:sz="0" w:space="0" w:color="auto"/>
        <w:bottom w:val="none" w:sz="0" w:space="0" w:color="auto"/>
        <w:right w:val="none" w:sz="0" w:space="0" w:color="auto"/>
      </w:divBdr>
    </w:div>
    <w:div w:id="1698308682">
      <w:bodyDiv w:val="1"/>
      <w:marLeft w:val="0"/>
      <w:marRight w:val="0"/>
      <w:marTop w:val="0"/>
      <w:marBottom w:val="0"/>
      <w:divBdr>
        <w:top w:val="none" w:sz="0" w:space="0" w:color="auto"/>
        <w:left w:val="none" w:sz="0" w:space="0" w:color="auto"/>
        <w:bottom w:val="none" w:sz="0" w:space="0" w:color="auto"/>
        <w:right w:val="none" w:sz="0" w:space="0" w:color="auto"/>
      </w:divBdr>
    </w:div>
    <w:div w:id="1760175962">
      <w:bodyDiv w:val="1"/>
      <w:marLeft w:val="0"/>
      <w:marRight w:val="0"/>
      <w:marTop w:val="0"/>
      <w:marBottom w:val="0"/>
      <w:divBdr>
        <w:top w:val="none" w:sz="0" w:space="0" w:color="auto"/>
        <w:left w:val="none" w:sz="0" w:space="0" w:color="auto"/>
        <w:bottom w:val="none" w:sz="0" w:space="0" w:color="auto"/>
        <w:right w:val="none" w:sz="0" w:space="0" w:color="auto"/>
      </w:divBdr>
    </w:div>
    <w:div w:id="1843229745">
      <w:bodyDiv w:val="1"/>
      <w:marLeft w:val="0"/>
      <w:marRight w:val="0"/>
      <w:marTop w:val="0"/>
      <w:marBottom w:val="0"/>
      <w:divBdr>
        <w:top w:val="none" w:sz="0" w:space="0" w:color="auto"/>
        <w:left w:val="none" w:sz="0" w:space="0" w:color="auto"/>
        <w:bottom w:val="none" w:sz="0" w:space="0" w:color="auto"/>
        <w:right w:val="none" w:sz="0" w:space="0" w:color="auto"/>
      </w:divBdr>
    </w:div>
    <w:div w:id="1859848246">
      <w:bodyDiv w:val="1"/>
      <w:marLeft w:val="0"/>
      <w:marRight w:val="0"/>
      <w:marTop w:val="0"/>
      <w:marBottom w:val="0"/>
      <w:divBdr>
        <w:top w:val="none" w:sz="0" w:space="0" w:color="auto"/>
        <w:left w:val="none" w:sz="0" w:space="0" w:color="auto"/>
        <w:bottom w:val="none" w:sz="0" w:space="0" w:color="auto"/>
        <w:right w:val="none" w:sz="0" w:space="0" w:color="auto"/>
      </w:divBdr>
    </w:div>
    <w:div w:id="20958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48575-37E2-4F6F-B8E7-800B27128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3035</Words>
  <Characters>16695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19691</CharactersWithSpaces>
  <SharedDoc>false</SharedDoc>
  <HLinks>
    <vt:vector size="78" baseType="variant">
      <vt:variant>
        <vt:i4>1572927</vt:i4>
      </vt:variant>
      <vt:variant>
        <vt:i4>74</vt:i4>
      </vt:variant>
      <vt:variant>
        <vt:i4>0</vt:i4>
      </vt:variant>
      <vt:variant>
        <vt:i4>5</vt:i4>
      </vt:variant>
      <vt:variant>
        <vt:lpwstr/>
      </vt:variant>
      <vt:variant>
        <vt:lpwstr>_Toc96174836</vt:lpwstr>
      </vt:variant>
      <vt:variant>
        <vt:i4>1769535</vt:i4>
      </vt:variant>
      <vt:variant>
        <vt:i4>68</vt:i4>
      </vt:variant>
      <vt:variant>
        <vt:i4>0</vt:i4>
      </vt:variant>
      <vt:variant>
        <vt:i4>5</vt:i4>
      </vt:variant>
      <vt:variant>
        <vt:lpwstr/>
      </vt:variant>
      <vt:variant>
        <vt:lpwstr>_Toc96174835</vt:lpwstr>
      </vt:variant>
      <vt:variant>
        <vt:i4>1703999</vt:i4>
      </vt:variant>
      <vt:variant>
        <vt:i4>62</vt:i4>
      </vt:variant>
      <vt:variant>
        <vt:i4>0</vt:i4>
      </vt:variant>
      <vt:variant>
        <vt:i4>5</vt:i4>
      </vt:variant>
      <vt:variant>
        <vt:lpwstr/>
      </vt:variant>
      <vt:variant>
        <vt:lpwstr>_Toc96174834</vt:lpwstr>
      </vt:variant>
      <vt:variant>
        <vt:i4>1900607</vt:i4>
      </vt:variant>
      <vt:variant>
        <vt:i4>56</vt:i4>
      </vt:variant>
      <vt:variant>
        <vt:i4>0</vt:i4>
      </vt:variant>
      <vt:variant>
        <vt:i4>5</vt:i4>
      </vt:variant>
      <vt:variant>
        <vt:lpwstr/>
      </vt:variant>
      <vt:variant>
        <vt:lpwstr>_Toc96174833</vt:lpwstr>
      </vt:variant>
      <vt:variant>
        <vt:i4>1835071</vt:i4>
      </vt:variant>
      <vt:variant>
        <vt:i4>50</vt:i4>
      </vt:variant>
      <vt:variant>
        <vt:i4>0</vt:i4>
      </vt:variant>
      <vt:variant>
        <vt:i4>5</vt:i4>
      </vt:variant>
      <vt:variant>
        <vt:lpwstr/>
      </vt:variant>
      <vt:variant>
        <vt:lpwstr>_Toc96174832</vt:lpwstr>
      </vt:variant>
      <vt:variant>
        <vt:i4>2031679</vt:i4>
      </vt:variant>
      <vt:variant>
        <vt:i4>44</vt:i4>
      </vt:variant>
      <vt:variant>
        <vt:i4>0</vt:i4>
      </vt:variant>
      <vt:variant>
        <vt:i4>5</vt:i4>
      </vt:variant>
      <vt:variant>
        <vt:lpwstr/>
      </vt:variant>
      <vt:variant>
        <vt:lpwstr>_Toc96174831</vt:lpwstr>
      </vt:variant>
      <vt:variant>
        <vt:i4>1966143</vt:i4>
      </vt:variant>
      <vt:variant>
        <vt:i4>38</vt:i4>
      </vt:variant>
      <vt:variant>
        <vt:i4>0</vt:i4>
      </vt:variant>
      <vt:variant>
        <vt:i4>5</vt:i4>
      </vt:variant>
      <vt:variant>
        <vt:lpwstr/>
      </vt:variant>
      <vt:variant>
        <vt:lpwstr>_Toc96174830</vt:lpwstr>
      </vt:variant>
      <vt:variant>
        <vt:i4>1507390</vt:i4>
      </vt:variant>
      <vt:variant>
        <vt:i4>32</vt:i4>
      </vt:variant>
      <vt:variant>
        <vt:i4>0</vt:i4>
      </vt:variant>
      <vt:variant>
        <vt:i4>5</vt:i4>
      </vt:variant>
      <vt:variant>
        <vt:lpwstr/>
      </vt:variant>
      <vt:variant>
        <vt:lpwstr>_Toc96174829</vt:lpwstr>
      </vt:variant>
      <vt:variant>
        <vt:i4>1441854</vt:i4>
      </vt:variant>
      <vt:variant>
        <vt:i4>26</vt:i4>
      </vt:variant>
      <vt:variant>
        <vt:i4>0</vt:i4>
      </vt:variant>
      <vt:variant>
        <vt:i4>5</vt:i4>
      </vt:variant>
      <vt:variant>
        <vt:lpwstr/>
      </vt:variant>
      <vt:variant>
        <vt:lpwstr>_Toc96174828</vt:lpwstr>
      </vt:variant>
      <vt:variant>
        <vt:i4>1638462</vt:i4>
      </vt:variant>
      <vt:variant>
        <vt:i4>20</vt:i4>
      </vt:variant>
      <vt:variant>
        <vt:i4>0</vt:i4>
      </vt:variant>
      <vt:variant>
        <vt:i4>5</vt:i4>
      </vt:variant>
      <vt:variant>
        <vt:lpwstr/>
      </vt:variant>
      <vt:variant>
        <vt:lpwstr>_Toc96174827</vt:lpwstr>
      </vt:variant>
      <vt:variant>
        <vt:i4>1572926</vt:i4>
      </vt:variant>
      <vt:variant>
        <vt:i4>14</vt:i4>
      </vt:variant>
      <vt:variant>
        <vt:i4>0</vt:i4>
      </vt:variant>
      <vt:variant>
        <vt:i4>5</vt:i4>
      </vt:variant>
      <vt:variant>
        <vt:lpwstr/>
      </vt:variant>
      <vt:variant>
        <vt:lpwstr>_Toc96174826</vt:lpwstr>
      </vt:variant>
      <vt:variant>
        <vt:i4>1769534</vt:i4>
      </vt:variant>
      <vt:variant>
        <vt:i4>8</vt:i4>
      </vt:variant>
      <vt:variant>
        <vt:i4>0</vt:i4>
      </vt:variant>
      <vt:variant>
        <vt:i4>5</vt:i4>
      </vt:variant>
      <vt:variant>
        <vt:lpwstr/>
      </vt:variant>
      <vt:variant>
        <vt:lpwstr>_Toc96174825</vt:lpwstr>
      </vt:variant>
      <vt:variant>
        <vt:i4>1703998</vt:i4>
      </vt:variant>
      <vt:variant>
        <vt:i4>2</vt:i4>
      </vt:variant>
      <vt:variant>
        <vt:i4>0</vt:i4>
      </vt:variant>
      <vt:variant>
        <vt:i4>5</vt:i4>
      </vt:variant>
      <vt:variant>
        <vt:lpwstr/>
      </vt:variant>
      <vt:variant>
        <vt:lpwstr>_Toc96174824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Cabrera</dc:creator>
  <cp:keywords/>
  <dc:description/>
  <cp:lastModifiedBy>edward</cp:lastModifiedBy>
  <cp:revision>4</cp:revision>
  <dcterms:created xsi:type="dcterms:W3CDTF">2022-07-17T21:05:00Z</dcterms:created>
  <dcterms:modified xsi:type="dcterms:W3CDTF">2022-11-04T19:43:00Z</dcterms:modified>
</cp:coreProperties>
</file>