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8.0" w:type="dxa"/>
        <w:jc w:val="left"/>
        <w:tblInd w:w="188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457"/>
        <w:gridCol w:w="7091"/>
        <w:tblGridChange w:id="0">
          <w:tblGrid>
            <w:gridCol w:w="2457"/>
            <w:gridCol w:w="7091"/>
          </w:tblGrid>
        </w:tblGridChange>
      </w:tblGrid>
      <w:tr>
        <w:trPr>
          <w:cantSplit w:val="0"/>
          <w:trHeight w:val="6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9" w:right="106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80808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2053" w:right="2078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80808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프로젝트 주제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2103" w:right="207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2023.06.0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~ 2023.06.19.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3"/>
        </w:tabs>
        <w:spacing w:after="0" w:before="200" w:line="240" w:lineRule="auto"/>
        <w:ind w:left="372" w:right="0" w:hanging="25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팀원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윤세종, 김명기, 김현준, 양현준, 지혜현, 정유나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9.0" w:type="dxa"/>
        <w:jc w:val="left"/>
        <w:tblInd w:w="188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529"/>
        <w:tblGridChange w:id="0">
          <w:tblGrid>
            <w:gridCol w:w="9529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99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프로젝트 개요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bfbfb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312.4015748031502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 최근까지 전세계적 팬데믹 상황과 우크라이나 전쟁 그리고 ‘OPEC+’의 원유 생산량 감산 이슈 등 유가에 영향을 미치는 여러가지 이슈가 있었다.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312.4015748031502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312.4015748031502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그런데 이러한 국제상황에 따라 원유값은 증가하거나 감소하는 반면 일반 국민들이 체감하는 주유소 물가는 상황을 제대로 반영하지 못하는 경우가 많다는 의견이 있다.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2.4015748031502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그래서 정부에서도 실제 석유 판매가격을 공개하도록 법안을 개정하는 등 여러가지 조치를 취한 것으로 알려졌다.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이에 국내 및 국외 최근 유가 관련해 각종 동향을 확인하고 실제 법안의 적용이 일반 유가에 효과가 있었는지를 확인하려 한다.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또한 유가관련 동향과 관련된 이슈 또한 확인한다.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99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프로젝트 목적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국제 원유값 변화가 일반 주유소 물가에 반영되는 변화를 확인하고 유류값 관련하여 각종 시행된</w:t>
              <w:br w:type="textWrapping"/>
              <w:t xml:space="preserve">정부의 각종 정책이 유가반영에 어떻게 영향을 줬는지 확인하여 보완점을 제시한다.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지역구 및 지정학적 위치 등 여러가지 조건에 따라 유가가 어떻게 반영되는지 확인하고 이에 따른</w:t>
              <w:br w:type="textWrapping"/>
              <w:t xml:space="preserve">인사이트를 제시한다.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유가변화가 산업 전반에 어떤 영향을 주는 지 확인한다.</w:t>
              <w:br w:type="textWrapping"/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유가 및 관련된 산업에 관련된 이슈를 확인하고 실제 수치에 반영됐는지 확인한다.</w:t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ind w:firstLine="0"/>
        <w:rPr>
          <w:rFonts w:ascii="Arial" w:cs="Arial" w:eastAsia="Arial" w:hAnsi="Arial"/>
          <w:sz w:val="20"/>
          <w:szCs w:val="20"/>
        </w:rPr>
        <w:sectPr>
          <w:pgSz w:h="16820" w:w="11900" w:orient="portrait"/>
          <w:pgMar w:bottom="280" w:top="1600" w:left="980" w:right="10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9.0" w:type="dxa"/>
        <w:jc w:val="left"/>
        <w:tblInd w:w="188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529"/>
        <w:tblGridChange w:id="0">
          <w:tblGrid>
            <w:gridCol w:w="9529"/>
          </w:tblGrid>
        </w:tblGridChange>
      </w:tblGrid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99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프로젝트 주요 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ind w:left="99" w:firstLine="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국제 석유값과 국내 석유값이 동향 체크 및 인사이트 도출</w:t>
              <w:br w:type="textWrapping"/>
              <w:t xml:space="preserve"> (국제 통계 자료 및 국내 통계자료를 통해 체크)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지역별 유가 비교 및 인사이트 도출 ( 국내 주유 관련  오피넷 자료 활용 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주유소 위치별 유가 비교 및 인사이트 도출 (국내 주유 관련  오피넷 자료 활용)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셀프 유무 등 주유소 조건에 따른 비교 및 인사이트 도출 (국내 주유 관련  오피넷 자료 활용)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기름 종류에 따라 동향 파악 (국내 주유 관련  오피넷 자료 및 추가자료 활용)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자동차 이용량과 관련하여 비교 분석 ( 자동차 운행관련 자료 필요)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공급 수요와 기름 가격의 상관관계 ( 공급 수요에 관한 통계 자료 필요)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전기차 공급과 기름값의 상관관계 ( 전기차 관련 자료 필요 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석유 관련 산업의 최근 동향과 유가의 관계 확인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99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프로젝트 절차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99" w:right="0" w:firstLine="0"/>
              <w:jc w:val="left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국내 및 국외 유가자료 종합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국내 유가 관련 시행 정책 및 반영 시점 조사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국제 유가의 변동에 따른 국내 유가의 변동을 확인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유가의 경향을 확인 후  유가 반영 시점과 국제 유가의 변동 시간 차이를 확인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유가 관련 정책의 시점과 유가의 관련성을 확인</w:t>
              <w:br w:type="textWrapping"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관련 산업과 이슈를 확인한다.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각종 조건에 따른 유가를 확인하고 각종 유가 관련 정책이 현실반영이 되었는지 판단.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정책적 보안점이 있는지 판단하고 인사이트 제시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ind w:firstLine="0"/>
        <w:rPr>
          <w:sz w:val="24"/>
          <w:szCs w:val="24"/>
        </w:rPr>
        <w:sectPr>
          <w:type w:val="nextPage"/>
          <w:pgSz w:h="16820" w:w="11900" w:orient="portrait"/>
          <w:pgMar w:bottom="280" w:top="1600" w:left="980" w:right="10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9.0" w:type="dxa"/>
        <w:jc w:val="left"/>
        <w:tblInd w:w="188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529"/>
        <w:tblGridChange w:id="0">
          <w:tblGrid>
            <w:gridCol w:w="9529"/>
          </w:tblGrid>
        </w:tblGridChange>
      </w:tblGrid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99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기대 효과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bfbfb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20" w:right="0" w:hanging="36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유가관련 정부 정책이 어느정도 효과가 있었는지 판단할 수 있다. 또한 이를 통해 정책의 보완점</w:t>
              <w:br w:type="textWrapping"/>
              <w:t xml:space="preserve">을 제시할 수 있다.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각종 조건에 따라 유가를 분석함으로 유가에 영향을 미치는 주요 요소가 무엇인지 확인할 수 있다.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bfbfb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국내외 석유관련 산업에 영향을 미치는 요소에 대해 확인하고 실제 경제상황과의 관계성을 확인할 </w:t>
              <w:br w:type="textWrapping"/>
              <w:t xml:space="preserve">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280" w:top="1600" w:left="980" w:right="10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otum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○"/>
      <w:lvlJc w:val="left"/>
      <w:pPr>
        <w:ind w:left="372" w:hanging="253.99999999999991"/>
      </w:pPr>
      <w:rPr>
        <w:rFonts w:ascii="Dotum" w:cs="Dotum" w:eastAsia="Dotum" w:hAnsi="Dotum"/>
        <w:b w:val="0"/>
        <w:i w:val="0"/>
        <w:color w:val="808080"/>
        <w:sz w:val="24"/>
        <w:szCs w:val="24"/>
      </w:rPr>
    </w:lvl>
    <w:lvl w:ilvl="1">
      <w:start w:val="0"/>
      <w:numFmt w:val="bullet"/>
      <w:lvlText w:val="•"/>
      <w:lvlJc w:val="left"/>
      <w:pPr>
        <w:ind w:left="1326" w:hanging="254"/>
      </w:pPr>
      <w:rPr/>
    </w:lvl>
    <w:lvl w:ilvl="2">
      <w:start w:val="0"/>
      <w:numFmt w:val="bullet"/>
      <w:lvlText w:val="•"/>
      <w:lvlJc w:val="left"/>
      <w:pPr>
        <w:ind w:left="2272" w:hanging="254.00000000000045"/>
      </w:pPr>
      <w:rPr/>
    </w:lvl>
    <w:lvl w:ilvl="3">
      <w:start w:val="0"/>
      <w:numFmt w:val="bullet"/>
      <w:lvlText w:val="•"/>
      <w:lvlJc w:val="left"/>
      <w:pPr>
        <w:ind w:left="3218" w:hanging="253.99999999999955"/>
      </w:pPr>
      <w:rPr/>
    </w:lvl>
    <w:lvl w:ilvl="4">
      <w:start w:val="0"/>
      <w:numFmt w:val="bullet"/>
      <w:lvlText w:val="•"/>
      <w:lvlJc w:val="left"/>
      <w:pPr>
        <w:ind w:left="4164" w:hanging="254"/>
      </w:pPr>
      <w:rPr/>
    </w:lvl>
    <w:lvl w:ilvl="5">
      <w:start w:val="0"/>
      <w:numFmt w:val="bullet"/>
      <w:lvlText w:val="•"/>
      <w:lvlJc w:val="left"/>
      <w:pPr>
        <w:ind w:left="5110" w:hanging="254"/>
      </w:pPr>
      <w:rPr/>
    </w:lvl>
    <w:lvl w:ilvl="6">
      <w:start w:val="0"/>
      <w:numFmt w:val="bullet"/>
      <w:lvlText w:val="•"/>
      <w:lvlJc w:val="left"/>
      <w:pPr>
        <w:ind w:left="6056" w:hanging="254"/>
      </w:pPr>
      <w:rPr/>
    </w:lvl>
    <w:lvl w:ilvl="7">
      <w:start w:val="0"/>
      <w:numFmt w:val="bullet"/>
      <w:lvlText w:val="•"/>
      <w:lvlJc w:val="left"/>
      <w:pPr>
        <w:ind w:left="7002" w:hanging="253.99999999999818"/>
      </w:pPr>
      <w:rPr/>
    </w:lvl>
    <w:lvl w:ilvl="8">
      <w:start w:val="0"/>
      <w:numFmt w:val="bullet"/>
      <w:lvlText w:val="•"/>
      <w:lvlJc w:val="left"/>
      <w:pPr>
        <w:ind w:left="7948" w:hanging="25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otum" w:cs="Dotum" w:eastAsia="Dotum" w:hAnsi="Dotum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Dotum" w:cs="Dotum" w:eastAsia="Dotum" w:hAnsi="Dotum"/>
      <w:lang w:bidi="ar-SA" w:eastAsia="ko-KR" w:val="en-US"/>
    </w:rPr>
  </w:style>
  <w:style w:type="paragraph" w:styleId="BodyText">
    <w:name w:val="Body Text"/>
    <w:basedOn w:val="Normal"/>
    <w:uiPriority w:val="1"/>
    <w:qFormat w:val="1"/>
    <w:pPr/>
    <w:rPr>
      <w:rFonts w:ascii="Dotum" w:cs="Dotum" w:eastAsia="Dotum" w:hAnsi="Dotum"/>
      <w:sz w:val="24"/>
      <w:szCs w:val="24"/>
      <w:lang w:bidi="ar-SA" w:eastAsia="ko-KR" w:val="en-US"/>
    </w:rPr>
  </w:style>
  <w:style w:type="paragraph" w:styleId="ListParagraph">
    <w:name w:val="List Paragraph"/>
    <w:basedOn w:val="Normal"/>
    <w:uiPriority w:val="1"/>
    <w:qFormat w:val="1"/>
    <w:pPr>
      <w:spacing w:before="200"/>
      <w:ind w:left="372" w:hanging="255"/>
    </w:pPr>
    <w:rPr>
      <w:rFonts w:ascii="Dotum" w:cs="Dotum" w:eastAsia="Dotum" w:hAnsi="Dotum"/>
      <w:lang w:bidi="ar-SA" w:eastAsia="ko-KR" w:val="en-US"/>
    </w:rPr>
  </w:style>
  <w:style w:type="paragraph" w:styleId="TableParagraph">
    <w:name w:val="Table Paragraph"/>
    <w:basedOn w:val="Normal"/>
    <w:uiPriority w:val="1"/>
    <w:qFormat w:val="1"/>
    <w:pPr>
      <w:ind w:left="99"/>
    </w:pPr>
    <w:rPr>
      <w:rFonts w:ascii="Dotum" w:cs="Dotum" w:eastAsia="Dotum" w:hAnsi="Dotum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FJpPTtrVUxBClvkYTo0MpH3AWA==">CgMxLjA4AHIhMTRQc21tTk1PWlVwMVdTVkRfRFNibnVNOTNQZzEwZzVz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2023-06-08T05:12:53Z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LastSaved">
    <vt:filetime>2023-06-08T00:00:00Z</vt:filetime>
  </property>
</Properties>
</file>