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i w:val="false"/>
          <w:iCs w:val="false"/>
          <w:color w:val="52606D"/>
          <w:sz w:val="20"/>
          <w:szCs w:val="20"/>
        </w:rPr>
        <w:t xml:space="preserve">PROSPECTUS ADDENDUM</w:t>
      </w:r>
    </w:p>
    <w:p>
      <w:pPr>
        <w:spacing w:after="60"/>
      </w:pPr>
      <w:r>
        <w:rPr>
          <w:rFonts w:ascii="Calibri" w:cs="Calibri" w:eastAsia="Calibri" w:hAnsi="Calibri"/>
          <w:b/>
          <w:bCs/>
          <w:i w:val="false"/>
          <w:iCs w:val="false"/>
          <w:color w:val="1B4965"/>
          <w:sz w:val="40"/>
          <w:szCs w:val="40"/>
        </w:rPr>
        <w:t xml:space="preserve">Isomorphism, Continued</w:t>
      </w:r>
    </w:p>
    <w:p>
      <w:pPr>
        <w:spacing w:after="160"/>
      </w:pPr>
      <w:r>
        <w:rPr>
          <w:rFonts w:ascii="Calibri" w:cs="Calibri" w:eastAsia="Calibri" w:hAnsi="Calibri"/>
          <w:b w:val="false"/>
          <w:bCs w:val="false"/>
          <w:i/>
          <w:iCs/>
          <w:color w:val="52606D"/>
          <w:sz w:val="24"/>
          <w:szCs w:val="24"/>
        </w:rPr>
        <w:t xml:space="preserve">The M1 loop-latency specification, and a triage of which motifs can bear fractal weight</w:t>
      </w:r>
    </w:p>
    <w:p>
      <w:pPr>
        <w:pBdr>
          <w:bottom w:val="single" w:color="B7C0CC" w:sz="6" w:space="1"/>
        </w:pBdr>
        <w:spacing w:after="120" w:before="40"/>
      </w:pPr>
    </w:p>
    <w:p>
      <w:pPr>
        <w:spacing w:after="40" w:before="0" w:line="264"/>
      </w:pPr>
      <w:r>
        <w:rPr>
          <w:rFonts w:ascii="Calibri" w:cs="Calibri" w:eastAsia="Calibri" w:hAnsi="Calibri"/>
          <w:b/>
          <w:bCs/>
          <w:i w:val="false"/>
          <w:iCs w:val="false"/>
          <w:color w:val="1B4965"/>
          <w:sz w:val="22"/>
          <w:szCs w:val="22"/>
        </w:rPr>
        <w:t xml:space="preserve">Addendum to:  </w:t>
      </w:r>
      <w:r>
        <w:rPr>
          <w:rFonts w:ascii="Calibri" w:cs="Calibri" w:eastAsia="Calibri" w:hAnsi="Calibri"/>
          <w:b w:val="false"/>
          <w:bCs w:val="false"/>
          <w:i w:val="false"/>
          <w:iCs w:val="false"/>
          <w:color w:val="1F2933"/>
          <w:sz w:val="22"/>
          <w:szCs w:val="22"/>
        </w:rPr>
        <w:t xml:space="preserve">Regulatory-Control Isomorphisms Between Neural and Business Systems (research prospectus).</w:t>
      </w:r>
    </w:p>
    <w:p>
      <w:pPr>
        <w:spacing w:after="40" w:before="0" w:line="264"/>
      </w:pPr>
      <w:r>
        <w:rPr>
          <w:rFonts w:ascii="Calibri" w:cs="Calibri" w:eastAsia="Calibri" w:hAnsi="Calibri"/>
          <w:b/>
          <w:bCs/>
          <w:i w:val="false"/>
          <w:iCs w:val="false"/>
          <w:color w:val="1B4965"/>
          <w:sz w:val="22"/>
          <w:szCs w:val="22"/>
        </w:rPr>
        <w:t xml:space="preserve">Prepared by:  </w:t>
      </w:r>
      <w:r>
        <w:rPr>
          <w:rFonts w:ascii="Calibri" w:cs="Calibri" w:eastAsia="Calibri" w:hAnsi="Calibri"/>
          <w:b w:val="false"/>
          <w:bCs w:val="false"/>
          <w:i w:val="false"/>
          <w:iCs w:val="false"/>
          <w:color w:val="1F2933"/>
          <w:sz w:val="22"/>
          <w:szCs w:val="22"/>
        </w:rPr>
        <w:t xml:space="preserve">[Strategy faculty], in response to a forensic review of the prospectus.</w:t>
      </w:r>
    </w:p>
    <w:p>
      <w:pPr>
        <w:spacing w:after="40" w:before="0" w:line="264"/>
      </w:pPr>
      <w:r>
        <w:rPr>
          <w:rFonts w:ascii="Calibri" w:cs="Calibri" w:eastAsia="Calibri" w:hAnsi="Calibri"/>
          <w:b/>
          <w:bCs/>
          <w:i w:val="false"/>
          <w:iCs w:val="false"/>
          <w:color w:val="1B4965"/>
          <w:sz w:val="22"/>
          <w:szCs w:val="22"/>
        </w:rPr>
        <w:t xml:space="preserve">Purpose:  </w:t>
      </w:r>
      <w:r>
        <w:rPr>
          <w:rFonts w:ascii="Calibri" w:cs="Calibri" w:eastAsia="Calibri" w:hAnsi="Calibri"/>
          <w:b w:val="false"/>
          <w:bCs w:val="false"/>
          <w:i w:val="false"/>
          <w:iCs w:val="false"/>
          <w:color w:val="1F2933"/>
          <w:sz w:val="22"/>
          <w:szCs w:val="22"/>
        </w:rPr>
        <w:t xml:space="preserve">The prospectus made the analogy→isomorphism move correctly but left four things unresolved. This addendum closes two of them with a specification, resolves the other two by re-tagging the map, and states the doctrinal trade the prospectus made implicitly — so it is adopted consciously, not absorbed.</w:t>
      </w:r>
    </w:p>
    <w:p>
      <w:pPr>
        <w:pBdr>
          <w:bottom w:val="single" w:color="B7C0CC" w:sz="6" w:space="1"/>
        </w:pBdr>
        <w:spacing w:after="120" w:before="40"/>
      </w:pPr>
    </w:p>
    <w:p>
      <w:pPr>
        <w:pStyle w:val="Heading1"/>
        <w:spacing w:after="120" w:before="280"/>
      </w:pPr>
      <w:r>
        <w:rPr>
          <w:rFonts w:ascii="Calibri" w:cs="Calibri" w:eastAsia="Calibri" w:hAnsi="Calibri"/>
          <w:b/>
          <w:bCs/>
          <w:i w:val="false"/>
          <w:iCs w:val="false"/>
          <w:color w:val="1B4965"/>
          <w:sz w:val="30"/>
          <w:szCs w:val="30"/>
        </w:rPr>
        <w:t xml:space="preserve">What this responds to</w:t>
      </w:r>
    </w:p>
    <w:p>Four catches survived the prospectus. All four are instructions to sharpen the map, not to remove anything from it — none disqualifies a mapping. They are recorded here so the document is self-contained.</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5060"/>
        <w:gridCol w:w="1800"/>
      </w:tblGrid>
      <w:tr>
        <w:trPr>
          <w:tblHeader/>
        </w:trPr>
        <w:tc>
          <w:tcPr>
            <w:tcW w:type="dxa" w:w="400"/>
            <w:shd w:fill="1B4965" w:color="auto" w:val="clear"/>
            <w:tcMar>
              <w:top w:type="dxa" w:w="70"/>
              <w:left w:type="dxa" w:w="90"/>
              <w:bottom w:type="dxa" w:w="70"/>
              <w:right w:type="dxa" w:w="90"/>
            </w:tcMar>
            <w:vAlign w:val="center"/>
          </w:tcPr>
          <w:p>
            <w:pPr>
              <w:spacing w:after="0"/>
            </w:pPr>
            <w:r>
              <w:rPr>
                <w:rFonts w:ascii="Calibri" w:cs="Calibri" w:eastAsia="Calibri" w:hAnsi="Calibri"/>
                <w:b/>
                <w:bCs/>
                <w:i w:val="false"/>
                <w:iCs w:val="false"/>
                <w:color w:val="FFFFFF"/>
                <w:sz w:val="19"/>
                <w:szCs w:val="19"/>
              </w:rPr>
              <w:t xml:space="preserve">#</w:t>
            </w:r>
          </w:p>
        </w:tc>
        <w:tc>
          <w:tcPr>
            <w:tcW w:type="dxa" w:w="2100"/>
            <w:shd w:fill="1B4965" w:color="auto" w:val="clear"/>
            <w:tcMar>
              <w:top w:type="dxa" w:w="70"/>
              <w:left w:type="dxa" w:w="90"/>
              <w:bottom w:type="dxa" w:w="70"/>
              <w:right w:type="dxa" w:w="90"/>
            </w:tcMar>
            <w:vAlign w:val="center"/>
          </w:tcPr>
          <w:p>
            <w:pPr>
              <w:spacing w:after="0"/>
            </w:pPr>
            <w:r>
              <w:rPr>
                <w:rFonts w:ascii="Calibri" w:cs="Calibri" w:eastAsia="Calibri" w:hAnsi="Calibri"/>
                <w:b/>
                <w:bCs/>
                <w:i w:val="false"/>
                <w:iCs w:val="false"/>
                <w:color w:val="FFFFFF"/>
                <w:sz w:val="19"/>
                <w:szCs w:val="19"/>
              </w:rPr>
              <w:t xml:space="preserve">Catch</w:t>
            </w:r>
          </w:p>
        </w:tc>
        <w:tc>
          <w:tcPr>
            <w:tcW w:type="dxa" w:w="5060"/>
            <w:shd w:fill="1B4965" w:color="auto" w:val="clear"/>
            <w:tcMar>
              <w:top w:type="dxa" w:w="70"/>
              <w:left w:type="dxa" w:w="90"/>
              <w:bottom w:type="dxa" w:w="70"/>
              <w:right w:type="dxa" w:w="90"/>
            </w:tcMar>
            <w:vAlign w:val="center"/>
          </w:tcPr>
          <w:p>
            <w:pPr>
              <w:spacing w:after="0"/>
            </w:pPr>
            <w:r>
              <w:rPr>
                <w:rFonts w:ascii="Calibri" w:cs="Calibri" w:eastAsia="Calibri" w:hAnsi="Calibri"/>
                <w:b/>
                <w:bCs/>
                <w:i w:val="false"/>
                <w:iCs w:val="false"/>
                <w:color w:val="FFFFFF"/>
                <w:sz w:val="19"/>
                <w:szCs w:val="19"/>
              </w:rPr>
              <w:t xml:space="preserve">Substance</w:t>
            </w:r>
          </w:p>
        </w:tc>
        <w:tc>
          <w:tcPr>
            <w:tcW w:type="dxa" w:w="1800"/>
            <w:shd w:fill="1B4965" w:color="auto" w:val="clear"/>
            <w:tcMar>
              <w:top w:type="dxa" w:w="70"/>
              <w:left w:type="dxa" w:w="90"/>
              <w:bottom w:type="dxa" w:w="70"/>
              <w:right w:type="dxa" w:w="90"/>
            </w:tcMar>
            <w:vAlign w:val="center"/>
          </w:tcPr>
          <w:p>
            <w:pPr>
              <w:spacing w:after="0"/>
            </w:pPr>
            <w:r>
              <w:rPr>
                <w:rFonts w:ascii="Calibri" w:cs="Calibri" w:eastAsia="Calibri" w:hAnsi="Calibri"/>
                <w:b/>
                <w:bCs/>
                <w:i w:val="false"/>
                <w:iCs w:val="false"/>
                <w:color w:val="FFFFFF"/>
                <w:sz w:val="19"/>
                <w:szCs w:val="19"/>
              </w:rPr>
              <w:t xml:space="preserve">Disposition</w:t>
            </w:r>
          </w:p>
        </w:tc>
      </w:tr>
      <w:tr>
        <w:tc>
          <w:tcPr>
            <w:tcW w:type="dxa" w:w="40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9"/>
                <w:szCs w:val="19"/>
              </w:rPr>
              <w:t xml:space="preserve">1</w:t>
            </w:r>
          </w:p>
        </w:tc>
        <w:tc>
          <w:tcPr>
            <w:tcW w:type="dxa" w:w="2100"/>
            <w:tcMar>
              <w:top w:type="dxa" w:w="70"/>
              <w:left w:type="dxa" w:w="90"/>
              <w:bottom w:type="dxa" w:w="70"/>
              <w:right w:type="dxa" w:w="90"/>
            </w:tcMar>
            <w:vAlign w:val="center"/>
          </w:tcPr>
          <w:p>
            <w:pPr>
              <w:spacing w:after="0" w:line="248"/>
            </w:pPr>
            <w:r>
              <w:rPr>
                <w:rFonts w:ascii="Calibri" w:cs="Calibri" w:eastAsia="Calibri" w:hAnsi="Calibri"/>
                <w:b/>
                <w:bCs/>
                <w:i w:val="false"/>
                <w:iCs w:val="false"/>
                <w:color w:val="1F2933"/>
                <w:sz w:val="19"/>
                <w:szCs w:val="19"/>
              </w:rPr>
              <w:t xml:space="preserve">Latency-commensurability</w:t>
            </w:r>
          </w:p>
        </w:tc>
        <w:tc>
          <w:tcPr>
            <w:tcW w:type="dxa" w:w="506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9"/>
                <w:szCs w:val="19"/>
              </w:rPr>
              <w:t xml:space="preserve">The flagship M1 test divided a brake latency by a reactive latency — but as written the two are different types of quantity (institutional decision time vs. a memory/consolidation timescale). The ratio does not run the neural side.</w:t>
            </w:r>
          </w:p>
        </w:tc>
        <w:tc>
          <w:tcPr>
            <w:tcW w:type="dxa" w:w="1800"/>
            <w:tcMar>
              <w:top w:type="dxa" w:w="70"/>
              <w:left w:type="dxa" w:w="90"/>
              <w:bottom w:type="dxa" w:w="70"/>
              <w:right w:type="dxa" w:w="90"/>
            </w:tcMar>
            <w:vAlign w:val="center"/>
          </w:tcPr>
          <w:p>
            <w:pPr>
              <w:spacing w:after="0" w:line="248"/>
            </w:pPr>
            <w:r>
              <w:rPr>
                <w:rFonts w:ascii="Calibri" w:cs="Calibri" w:eastAsia="Calibri" w:hAnsi="Calibri"/>
                <w:b w:val="false"/>
                <w:bCs w:val="false"/>
                <w:i/>
                <w:iCs/>
                <w:color w:val="1F2933"/>
                <w:sz w:val="19"/>
                <w:szCs w:val="19"/>
              </w:rPr>
              <w:t xml:space="preserve">Resolved in Part A</w:t>
            </w:r>
          </w:p>
        </w:tc>
      </w:tr>
      <w:tr>
        <w:tc>
          <w:tcPr>
            <w:tcW w:type="dxa" w:w="40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9"/>
                <w:szCs w:val="19"/>
              </w:rPr>
              <w:t xml:space="preserve">2</w:t>
            </w:r>
          </w:p>
        </w:tc>
        <w:tc>
          <w:tcPr>
            <w:tcW w:type="dxa" w:w="2100"/>
            <w:tcMar>
              <w:top w:type="dxa" w:w="70"/>
              <w:left w:type="dxa" w:w="90"/>
              <w:bottom w:type="dxa" w:w="70"/>
              <w:right w:type="dxa" w:w="90"/>
            </w:tcMar>
            <w:vAlign w:val="center"/>
          </w:tcPr>
          <w:p>
            <w:pPr>
              <w:spacing w:after="0" w:line="248"/>
            </w:pPr>
            <w:r>
              <w:rPr>
                <w:rFonts w:ascii="Calibri" w:cs="Calibri" w:eastAsia="Calibri" w:hAnsi="Calibri"/>
                <w:b/>
                <w:bCs/>
                <w:i w:val="false"/>
                <w:iCs w:val="false"/>
                <w:color w:val="1F2933"/>
                <w:sz w:val="19"/>
                <w:szCs w:val="19"/>
              </w:rPr>
              <w:t xml:space="preserve">Selection on the outcome</w:t>
            </w:r>
          </w:p>
        </w:tc>
        <w:tc>
          <w:tcPr>
            <w:tcW w:type="dxa" w:w="506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9"/>
                <w:szCs w:val="19"/>
              </w:rPr>
              <w:t xml:space="preserve">Every documented case is in the file because it blew up. A critical ratio cannot be located from a failure-only distribution; a survivor cohort is required.</w:t>
            </w:r>
          </w:p>
        </w:tc>
        <w:tc>
          <w:tcPr>
            <w:tcW w:type="dxa" w:w="1800"/>
            <w:tcMar>
              <w:top w:type="dxa" w:w="70"/>
              <w:left w:type="dxa" w:w="90"/>
              <w:bottom w:type="dxa" w:w="70"/>
              <w:right w:type="dxa" w:w="90"/>
            </w:tcMar>
            <w:vAlign w:val="center"/>
          </w:tcPr>
          <w:p>
            <w:pPr>
              <w:spacing w:after="0" w:line="248"/>
            </w:pPr>
            <w:r>
              <w:rPr>
                <w:rFonts w:ascii="Calibri" w:cs="Calibri" w:eastAsia="Calibri" w:hAnsi="Calibri"/>
                <w:b w:val="false"/>
                <w:bCs w:val="false"/>
                <w:i/>
                <w:iCs/>
                <w:color w:val="1F2933"/>
                <w:sz w:val="19"/>
                <w:szCs w:val="19"/>
              </w:rPr>
              <w:t xml:space="preserve">Folded into Part A</w:t>
            </w:r>
          </w:p>
        </w:tc>
      </w:tr>
      <w:tr>
        <w:tc>
          <w:tcPr>
            <w:tcW w:type="dxa" w:w="40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9"/>
                <w:szCs w:val="19"/>
              </w:rPr>
              <w:t xml:space="preserve">3</w:t>
            </w:r>
          </w:p>
        </w:tc>
        <w:tc>
          <w:tcPr>
            <w:tcW w:type="dxa" w:w="2100"/>
            <w:tcMar>
              <w:top w:type="dxa" w:w="70"/>
              <w:left w:type="dxa" w:w="90"/>
              <w:bottom w:type="dxa" w:w="70"/>
              <w:right w:type="dxa" w:w="90"/>
            </w:tcMar>
            <w:vAlign w:val="center"/>
          </w:tcPr>
          <w:p>
            <w:pPr>
              <w:spacing w:after="0" w:line="248"/>
            </w:pPr>
            <w:r>
              <w:rPr>
                <w:rFonts w:ascii="Calibri" w:cs="Calibri" w:eastAsia="Calibri" w:hAnsi="Calibri"/>
                <w:b/>
                <w:bCs/>
                <w:i w:val="false"/>
                <w:iCs w:val="false"/>
                <w:color w:val="1F2933"/>
                <w:sz w:val="19"/>
                <w:szCs w:val="19"/>
              </w:rPr>
              <w:t xml:space="preserve">M2 transform mismatch</w:t>
            </w:r>
          </w:p>
        </w:tc>
        <w:tc>
          <w:tcPr>
            <w:tcW w:type="dxa" w:w="506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9"/>
                <w:szCs w:val="19"/>
              </w:rPr>
              <w:t xml:space="preserve">Gain-broadcast matches on fan-out topology, but LC modulates precision/gain while a policy rate rescales a discount factor — different operations. Structural on the fan-out, cosmetic on the transform.</w:t>
            </w:r>
          </w:p>
        </w:tc>
        <w:tc>
          <w:tcPr>
            <w:tcW w:type="dxa" w:w="1800"/>
            <w:tcMar>
              <w:top w:type="dxa" w:w="70"/>
              <w:left w:type="dxa" w:w="90"/>
              <w:bottom w:type="dxa" w:w="70"/>
              <w:right w:type="dxa" w:w="90"/>
            </w:tcMar>
            <w:vAlign w:val="center"/>
          </w:tcPr>
          <w:p>
            <w:pPr>
              <w:spacing w:after="0" w:line="248"/>
            </w:pPr>
            <w:r>
              <w:rPr>
                <w:rFonts w:ascii="Calibri" w:cs="Calibri" w:eastAsia="Calibri" w:hAnsi="Calibri"/>
                <w:b w:val="false"/>
                <w:bCs w:val="false"/>
                <w:i/>
                <w:iCs/>
                <w:color w:val="1F2933"/>
                <w:sz w:val="19"/>
                <w:szCs w:val="19"/>
              </w:rPr>
              <w:t xml:space="preserve">Recorded in Part B triage</w:t>
            </w:r>
          </w:p>
        </w:tc>
      </w:tr>
      <w:tr>
        <w:tc>
          <w:tcPr>
            <w:tcW w:type="dxa" w:w="40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9"/>
                <w:szCs w:val="19"/>
              </w:rPr>
              <w:t xml:space="preserve">4</w:t>
            </w:r>
          </w:p>
        </w:tc>
        <w:tc>
          <w:tcPr>
            <w:tcW w:type="dxa" w:w="2100"/>
            <w:tcMar>
              <w:top w:type="dxa" w:w="70"/>
              <w:left w:type="dxa" w:w="90"/>
              <w:bottom w:type="dxa" w:w="70"/>
              <w:right w:type="dxa" w:w="90"/>
            </w:tcMar>
            <w:vAlign w:val="center"/>
          </w:tcPr>
          <w:p>
            <w:pPr>
              <w:spacing w:after="0" w:line="248"/>
            </w:pPr>
            <w:r>
              <w:rPr>
                <w:rFonts w:ascii="Calibri" w:cs="Calibri" w:eastAsia="Calibri" w:hAnsi="Calibri"/>
                <w:b/>
                <w:bCs/>
                <w:i w:val="false"/>
                <w:iCs w:val="false"/>
                <w:color w:val="1F2933"/>
                <w:sz w:val="19"/>
                <w:szCs w:val="19"/>
              </w:rPr>
              <w:t xml:space="preserve">Fractal integrity</w:t>
            </w:r>
          </w:p>
        </w:tc>
        <w:tc>
          <w:tcPr>
            <w:tcW w:type="dxa" w:w="506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9"/>
                <w:szCs w:val="19"/>
              </w:rPr>
              <w:t xml:space="preserve">The document is two-scale (neural↔business) and has quietly demoted “the brain built the bank” to “both are control systems.” That trade should be made consciously.</w:t>
            </w:r>
          </w:p>
        </w:tc>
        <w:tc>
          <w:tcPr>
            <w:tcW w:type="dxa" w:w="1800"/>
            <w:tcMar>
              <w:top w:type="dxa" w:w="70"/>
              <w:left w:type="dxa" w:w="90"/>
              <w:bottom w:type="dxa" w:w="70"/>
              <w:right w:type="dxa" w:w="90"/>
            </w:tcMar>
            <w:vAlign w:val="center"/>
          </w:tcPr>
          <w:p>
            <w:pPr>
              <w:spacing w:after="0" w:line="248"/>
            </w:pPr>
            <w:r>
              <w:rPr>
                <w:rFonts w:ascii="Calibri" w:cs="Calibri" w:eastAsia="Calibri" w:hAnsi="Calibri"/>
                <w:b w:val="false"/>
                <w:bCs w:val="false"/>
                <w:i/>
                <w:iCs/>
                <w:color w:val="1F2933"/>
                <w:sz w:val="19"/>
                <w:szCs w:val="19"/>
              </w:rPr>
              <w:t xml:space="preserve">Resolved in Part B + doctrine update</w:t>
            </w:r>
          </w:p>
        </w:tc>
      </w:tr>
    </w:tbl>
    <w:p>
      <w:r>
        <w:br w:type="page"/>
      </w:r>
    </w:p>
    <w:p>
      <w:pPr>
        <w:pStyle w:val="Heading1"/>
        <w:spacing w:after="120" w:before="280"/>
      </w:pPr>
      <w:r>
        <w:rPr>
          <w:rFonts w:ascii="Calibri" w:cs="Calibri" w:eastAsia="Calibri" w:hAnsi="Calibri"/>
          <w:b/>
          <w:bCs/>
          <w:i w:val="false"/>
          <w:iCs w:val="false"/>
          <w:color w:val="1B4965"/>
          <w:sz w:val="30"/>
          <w:szCs w:val="30"/>
        </w:rPr>
        <w:t xml:space="preserve">Part A — One operational “loop latency” for M1</w:t>
      </w:r>
    </w:p>
    <w:p>
      <w:pPr>
        <w:pStyle w:val="Heading2"/>
        <w:spacing w:after="90" w:before="220"/>
      </w:pPr>
      <w:r>
        <w:rPr>
          <w:rFonts w:ascii="Calibri" w:cs="Calibri" w:eastAsia="Calibri" w:hAnsi="Calibri"/>
          <w:b/>
          <w:bCs/>
          <w:i w:val="false"/>
          <w:iCs w:val="false"/>
          <w:color w:val="1F2933"/>
          <w:sz w:val="25"/>
          <w:szCs w:val="25"/>
        </w:rPr>
        <w:t xml:space="preserve">The relocation that makes it commensurable</w:t>
      </w:r>
    </w:p>
    <w:p>
      <w:pPr>
        <w:spacing w:after="120" w:before="0" w:line="264"/>
      </w:pPr>
      <w:r>
        <w:rPr>
          <w:rFonts w:ascii="Calibri" w:cs="Calibri" w:eastAsia="Calibri" w:hAnsi="Calibri"/>
          <w:b w:val="false"/>
          <w:bCs w:val="false"/>
          <w:i w:val="false"/>
          <w:iCs w:val="false"/>
          <w:color w:val="1F2933"/>
          <w:sz w:val="22"/>
          <w:szCs w:val="22"/>
        </w:rPr>
        <w:t xml:space="preserve">The catch is correct and its cause is diagnosable: M1 silently contained </w:t>
      </w:r>
      <w:r>
        <w:rPr>
          <w:rFonts w:ascii="Calibri" w:cs="Calibri" w:eastAsia="Calibri" w:hAnsi="Calibri"/>
          <w:b/>
          <w:bCs/>
          <w:i w:val="false"/>
          <w:iCs w:val="false"/>
          <w:color w:val="1F2933"/>
          <w:sz w:val="22"/>
          <w:szCs w:val="22"/>
        </w:rPr>
        <w:t xml:space="preserve">two different brakes</w:t>
      </w:r>
      <w:r>
        <w:rPr>
          <w:rFonts w:ascii="Calibri" w:cs="Calibri" w:eastAsia="Calibri" w:hAnsi="Calibri"/>
          <w:b w:val="false"/>
          <w:bCs w:val="false"/>
          <w:i w:val="false"/>
          <w:iCs w:val="false"/>
          <w:color w:val="1F2933"/>
          <w:sz w:val="22"/>
          <w:szCs w:val="22"/>
        </w:rPr>
        <w:t xml:space="preserve">. One is memory-based contextual gating (vmPFC → amygdala, the extinction circuit), where failure in PTSD is impaired extinction </w:t>
      </w:r>
      <w:r>
        <w:rPr>
          <w:rFonts w:ascii="Calibri" w:cs="Calibri" w:eastAsia="Calibri" w:hAnsi="Calibri"/>
          <w:b w:val="false"/>
          <w:bCs w:val="false"/>
          <w:i/>
          <w:iCs/>
          <w:color w:val="1F2933"/>
          <w:sz w:val="22"/>
          <w:szCs w:val="22"/>
        </w:rPr>
        <w:t xml:space="preserve">recall</w:t>
      </w:r>
      <w:r>
        <w:rPr>
          <w:rFonts w:ascii="Calibri" w:cs="Calibri" w:eastAsia="Calibri" w:hAnsi="Calibri"/>
          <w:b w:val="false"/>
          <w:bCs w:val="false"/>
          <w:i w:val="false"/>
          <w:iCs w:val="false"/>
          <w:color w:val="1F2933"/>
          <w:sz w:val="22"/>
          <w:szCs w:val="22"/>
        </w:rPr>
        <w:t xml:space="preserve"> — not a slow signal losing a footrace. That circuit will not support a latency race, so it cannot run the flagship test. The other is </w:t>
      </w:r>
      <w:r>
        <w:rPr>
          <w:rFonts w:ascii="Calibri" w:cs="Calibri" w:eastAsia="Calibri" w:hAnsi="Calibri"/>
          <w:b/>
          <w:bCs/>
          <w:i w:val="false"/>
          <w:iCs w:val="false"/>
          <w:color w:val="1F2933"/>
          <w:sz w:val="22"/>
          <w:szCs w:val="22"/>
        </w:rPr>
        <w:t xml:space="preserve">action cancellation via the rIFC / pre-SMA → STN hyperdirect pathway</w:t>
      </w:r>
      <w:r>
        <w:rPr>
          <w:rFonts w:ascii="Calibri" w:cs="Calibri" w:eastAsia="Calibri" w:hAnsi="Calibri"/>
          <w:b w:val="false"/>
          <w:bCs w:val="false"/>
          <w:i w:val="false"/>
          <w:iCs w:val="false"/>
          <w:color w:val="1F2933"/>
          <w:sz w:val="22"/>
          <w:szCs w:val="22"/>
        </w:rPr>
        <w:t xml:space="preserve">, formalized by the stop-signal race model, where inhibition genuinely is two processes racing to threshold, failed inhibition is the stop finishing after the go, and the stop-signal reaction time (SSRT) is a real, measured within-loop latency. The fix is to anchor the test on the second sub-instantiation, not the first.</w:t>
      </w:r>
    </w:p>
    <w:p>
      <w:pPr>
        <w:spacing w:after="120" w:before="0" w:line="264"/>
      </w:pPr>
      <w:r>
        <w:rPr>
          <w:rFonts w:ascii="Calibri" w:cs="Calibri" w:eastAsia="Calibri" w:hAnsi="Calibri"/>
          <w:b w:val="false"/>
          <w:bCs w:val="false"/>
          <w:i/>
          <w:iCs/>
          <w:color w:val="52606D"/>
          <w:sz w:val="19"/>
          <w:szCs w:val="19"/>
        </w:rPr>
        <w:t xml:space="preserve">(Neuroscience in this section — the race model, SSRT estimation, hyperdirect stopping — is recalled from standard accounts, not re-verified against primary sources. Flagged, not assumed.)</w:t>
      </w:r>
    </w:p>
    <w:p>
      <w:pPr>
        <w:pStyle w:val="Heading2"/>
        <w:spacing w:after="90" w:before="220"/>
      </w:pPr>
      <w:r>
        <w:rPr>
          <w:rFonts w:ascii="Calibri" w:cs="Calibri" w:eastAsia="Calibri" w:hAnsi="Calibri"/>
          <w:b/>
          <w:bCs/>
          <w:i w:val="false"/>
          <w:iCs w:val="false"/>
          <w:color w:val="1F2933"/>
          <w:sz w:val="25"/>
          <w:szCs w:val="25"/>
        </w:rPr>
        <w:t xml:space="preserve">The definition, stated once so it reads identically on both sides</w:t>
      </w:r>
    </w:p>
    <w:tbl>
      <w:tblPr>
        <w:tblW w:type="dxa" w:w="9360"/>
        <w:tblBorders>
          <w:top w:val="single" w:color="1B4965" w:sz="8"/>
          <w:left w:val="single" w:color="1B4965" w:sz="8"/>
          <w:bottom w:val="single" w:color="1B4965" w:sz="8"/>
          <w:right w:val="single" w:color="1B4965" w:sz="8"/>
          <w:insideH w:val="none"/>
          <w:insideV w:val="none"/>
        </w:tblBorders>
      </w:tblPr>
      <w:tblGrid>
        <w:gridCol w:w="9360"/>
      </w:tblGrid>
      <w:tr>
        <w:tc>
          <w:tcPr>
            <w:tcW w:type="dxa" w:w="9360"/>
            <w:shd w:fill="EEF3F7" w:color="auto" w:val="clear"/>
            <w:tcMar>
              <w:top w:type="dxa" w:w="140"/>
              <w:left w:type="dxa" w:w="170"/>
              <w:bottom w:type="dxa" w:w="140"/>
              <w:right w:type="dxa" w:w="170"/>
            </w:tcMar>
          </w:tcPr>
          <w:p>
            <w:pPr>
              <w:spacing w:after="60" w:before="0" w:line="264"/>
            </w:pPr>
            <w:r>
              <w:rPr>
                <w:rFonts w:ascii="Calibri" w:cs="Calibri" w:eastAsia="Calibri" w:hAnsi="Calibri"/>
                <w:b/>
                <w:bCs/>
                <w:i w:val="false"/>
                <w:iCs w:val="false"/>
                <w:color w:val="1B4965"/>
                <w:sz w:val="22"/>
                <w:szCs w:val="22"/>
              </w:rPr>
              <w:t xml:space="preserve">Loop latency L</w:t>
            </w:r>
            <w:r>
              <w:rPr>
                <w:rFonts w:ascii="Calibri" w:cs="Calibri" w:eastAsia="Calibri" w:hAnsi="Calibri"/>
                <w:b w:val="false"/>
                <w:bCs w:val="false"/>
                <w:i w:val="false"/>
                <w:iCs w:val="false"/>
                <w:color w:val="1F2933"/>
                <w:sz w:val="22"/>
                <w:szCs w:val="22"/>
              </w:rPr>
              <w:t xml:space="preserve">  =  (time the inhibitory process completes and cancels the reactive process)  −  (time the stop-relevant signal first became available to the inhibitory process).</w:t>
            </w:r>
          </w:p>
          <w:p>
            <w:pPr>
              <w:spacing w:after="0" w:before="0" w:line="264"/>
            </w:pPr>
            <w:r>
              <w:rPr>
                <w:rFonts w:ascii="Calibri" w:cs="Calibri" w:eastAsia="Calibri" w:hAnsi="Calibri"/>
                <w:b w:val="false"/>
                <w:bCs w:val="false"/>
                <w:i w:val="false"/>
                <w:iCs w:val="false"/>
                <w:color w:val="1F2933"/>
                <w:sz w:val="22"/>
                <w:szCs w:val="22"/>
              </w:rPr>
              <w:t xml:space="preserve">Not a calendar interval and not a decision-to-decision gap — a </w:t>
            </w:r>
            <w:r>
              <w:rPr>
                <w:rFonts w:ascii="Calibri" w:cs="Calibri" w:eastAsia="Calibri" w:hAnsi="Calibri"/>
                <w:b w:val="false"/>
                <w:bCs w:val="false"/>
                <w:i/>
                <w:iCs/>
                <w:color w:val="1F2933"/>
                <w:sz w:val="22"/>
                <w:szCs w:val="22"/>
              </w:rPr>
              <w:t xml:space="preserve">processing duration measured from stop-signal onset</w:t>
            </w:r>
            <w:r>
              <w:rPr>
                <w:rFonts w:ascii="Calibri" w:cs="Calibri" w:eastAsia="Calibri" w:hAnsi="Calibri"/>
                <w:b w:val="false"/>
                <w:bCs w:val="false"/>
                <w:i w:val="false"/>
                <w:iCs w:val="false"/>
                <w:color w:val="1F2933"/>
                <w:sz w:val="22"/>
                <w:szCs w:val="22"/>
              </w:rPr>
              <w:t xml:space="preserve">. That is exactly what SSRT is, and it is what makes the numerator and denominator the same </w:t>
            </w:r>
            <w:r>
              <w:rPr>
                <w:rFonts w:ascii="Calibri" w:cs="Calibri" w:eastAsia="Calibri" w:hAnsi="Calibri"/>
                <w:b w:val="false"/>
                <w:bCs w:val="false"/>
                <w:i/>
                <w:iCs/>
                <w:color w:val="1F2933"/>
                <w:sz w:val="22"/>
                <w:szCs w:val="22"/>
              </w:rPr>
              <w:t xml:space="preserve">type</w:t>
            </w:r>
            <w:r>
              <w:rPr>
                <w:rFonts w:ascii="Calibri" w:cs="Calibri" w:eastAsia="Calibri" w:hAnsi="Calibri"/>
                <w:b w:val="false"/>
                <w:bCs w:val="false"/>
                <w:i w:val="false"/>
                <w:iCs w:val="false"/>
                <w:color w:val="1F2933"/>
                <w:sz w:val="22"/>
                <w:szCs w:val="22"/>
              </w:rPr>
              <w:t xml:space="preserve"> of quantity in cortex and in a risk committee.</w:t>
            </w:r>
          </w:p>
        </w:tc>
      </w:tr>
    </w:tbl>
    <w:p>
      <w:pPr>
        <w:pStyle w:val="Heading2"/>
        <w:spacing w:after="90" w:before="220"/>
      </w:pPr>
      <w:r>
        <w:rPr>
          <w:rFonts w:ascii="Calibri" w:cs="Calibri" w:eastAsia="Calibri" w:hAnsi="Calibri"/>
          <w:b/>
          <w:bCs/>
          <w:i w:val="false"/>
          <w:iCs w:val="false"/>
          <w:color w:val="1F2933"/>
          <w:sz w:val="25"/>
          <w:szCs w:val="25"/>
        </w:rPr>
        <w:t xml:space="preserve">Term-by-term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shd w:fill="1B4965" w:color="auto" w:val="clear"/>
            <w:tcMar>
              <w:top w:type="dxa" w:w="70"/>
              <w:left w:type="dxa" w:w="90"/>
              <w:bottom w:type="dxa" w:w="70"/>
              <w:right w:type="dxa" w:w="90"/>
            </w:tcMar>
            <w:vAlign w:val="center"/>
          </w:tcPr>
          <w:p>
            <w:pPr>
              <w:spacing w:after="0"/>
            </w:pPr>
            <w:r>
              <w:rPr>
                <w:rFonts w:ascii="Calibri" w:cs="Calibri" w:eastAsia="Calibri" w:hAnsi="Calibri"/>
                <w:b/>
                <w:bCs/>
                <w:i w:val="false"/>
                <w:iCs w:val="false"/>
                <w:color w:val="FFFFFF"/>
                <w:sz w:val="19"/>
                <w:szCs w:val="19"/>
              </w:rPr>
              <w:t xml:space="preserve">Race-model term</w:t>
            </w:r>
          </w:p>
        </w:tc>
        <w:tc>
          <w:tcPr>
            <w:tcW w:type="dxa" w:w="3480"/>
            <w:shd w:fill="1B4965" w:color="auto" w:val="clear"/>
            <w:tcMar>
              <w:top w:type="dxa" w:w="70"/>
              <w:left w:type="dxa" w:w="90"/>
              <w:bottom w:type="dxa" w:w="70"/>
              <w:right w:type="dxa" w:w="90"/>
            </w:tcMar>
            <w:vAlign w:val="center"/>
          </w:tcPr>
          <w:p>
            <w:pPr>
              <w:spacing w:after="0"/>
            </w:pPr>
            <w:r>
              <w:rPr>
                <w:rFonts w:ascii="Calibri" w:cs="Calibri" w:eastAsia="Calibri" w:hAnsi="Calibri"/>
                <w:b/>
                <w:bCs/>
                <w:i w:val="false"/>
                <w:iCs w:val="false"/>
                <w:color w:val="FFFFFF"/>
                <w:sz w:val="19"/>
                <w:szCs w:val="19"/>
              </w:rPr>
              <w:t xml:space="preserve">Neural (stop task)</w:t>
            </w:r>
          </w:p>
        </w:tc>
        <w:tc>
          <w:tcPr>
            <w:tcW w:type="dxa" w:w="3680"/>
            <w:shd w:fill="1B4965" w:color="auto" w:val="clear"/>
            <w:tcMar>
              <w:top w:type="dxa" w:w="70"/>
              <w:left w:type="dxa" w:w="90"/>
              <w:bottom w:type="dxa" w:w="70"/>
              <w:right w:type="dxa" w:w="90"/>
            </w:tcMar>
            <w:vAlign w:val="center"/>
          </w:tcPr>
          <w:p>
            <w:pPr>
              <w:spacing w:after="0"/>
            </w:pPr>
            <w:r>
              <w:rPr>
                <w:rFonts w:ascii="Calibri" w:cs="Calibri" w:eastAsia="Calibri" w:hAnsi="Calibri"/>
                <w:b/>
                <w:bCs/>
                <w:i w:val="false"/>
                <w:iCs w:val="false"/>
                <w:color w:val="FFFFFF"/>
                <w:sz w:val="19"/>
                <w:szCs w:val="19"/>
              </w:rPr>
              <w:t xml:space="preserve">Business (Archegos)</w:t>
            </w:r>
          </w:p>
        </w:tc>
      </w:tr>
      <w:tr>
        <w:tc>
          <w:tcPr>
            <w:tcW w:type="dxa" w:w="2200"/>
            <w:shd w:fill="CFE2F3" w:color="auto" w:val="clear"/>
            <w:tcMar>
              <w:top w:type="dxa" w:w="70"/>
              <w:left w:type="dxa" w:w="90"/>
              <w:bottom w:type="dxa" w:w="70"/>
              <w:right w:type="dxa" w:w="90"/>
            </w:tcMar>
            <w:vAlign w:val="center"/>
          </w:tcPr>
          <w:p>
            <w:pPr>
              <w:spacing w:after="0" w:line="248"/>
            </w:pPr>
            <w:r>
              <w:rPr>
                <w:rFonts w:ascii="Calibri" w:cs="Calibri" w:eastAsia="Calibri" w:hAnsi="Calibri"/>
                <w:b/>
                <w:bCs/>
                <w:i w:val="false"/>
                <w:iCs w:val="false"/>
                <w:color w:val="1F2933"/>
                <w:sz w:val="19"/>
                <w:szCs w:val="19"/>
              </w:rPr>
              <w:t xml:space="preserve">GO process</w:t>
            </w:r>
          </w:p>
        </w:tc>
        <w:tc>
          <w:tcPr>
            <w:tcW w:type="dxa" w:w="348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9"/>
                <w:szCs w:val="19"/>
              </w:rPr>
              <w:t xml:space="preserve">motor response building to threshold</w:t>
            </w:r>
          </w:p>
        </w:tc>
        <w:tc>
          <w:tcPr>
            <w:tcW w:type="dxa" w:w="368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9"/>
                <w:szCs w:val="19"/>
              </w:rPr>
              <w:t xml:space="preserve">position accumulating toward irreversibility</w:t>
            </w:r>
          </w:p>
        </w:tc>
      </w:tr>
      <w:tr>
        <w:tc>
          <w:tcPr>
            <w:tcW w:type="dxa" w:w="2200"/>
            <w:shd w:fill="CFE2F3" w:color="auto" w:val="clear"/>
            <w:tcMar>
              <w:top w:type="dxa" w:w="70"/>
              <w:left w:type="dxa" w:w="90"/>
              <w:bottom w:type="dxa" w:w="70"/>
              <w:right w:type="dxa" w:w="90"/>
            </w:tcMar>
            <w:vAlign w:val="center"/>
          </w:tcPr>
          <w:p>
            <w:pPr>
              <w:spacing w:after="0" w:line="248"/>
            </w:pPr>
            <w:r>
              <w:rPr>
                <w:rFonts w:ascii="Calibri" w:cs="Calibri" w:eastAsia="Calibri" w:hAnsi="Calibri"/>
                <w:b/>
                <w:bCs/>
                <w:i w:val="false"/>
                <w:iCs w:val="false"/>
                <w:color w:val="1F2933"/>
                <w:sz w:val="19"/>
                <w:szCs w:val="19"/>
              </w:rPr>
              <w:t xml:space="preserve">GO finish</w:t>
            </w:r>
          </w:p>
        </w:tc>
        <w:tc>
          <w:tcPr>
            <w:tcW w:type="dxa" w:w="348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9"/>
                <w:szCs w:val="19"/>
              </w:rPr>
              <w:t xml:space="preserve">response emitted</w:t>
            </w:r>
          </w:p>
        </w:tc>
        <w:tc>
          <w:tcPr>
            <w:tcW w:type="dxa" w:w="368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9"/>
                <w:szCs w:val="19"/>
              </w:rPr>
              <w:t xml:space="preserve">size past which unwind-without-cascade is impossible (exposure exceeds recoverable margin)</w:t>
            </w:r>
          </w:p>
        </w:tc>
      </w:tr>
      <w:tr>
        <w:tc>
          <w:tcPr>
            <w:tcW w:type="dxa" w:w="2200"/>
            <w:shd w:fill="CFE2F3" w:color="auto" w:val="clear"/>
            <w:tcMar>
              <w:top w:type="dxa" w:w="70"/>
              <w:left w:type="dxa" w:w="90"/>
              <w:bottom w:type="dxa" w:w="70"/>
              <w:right w:type="dxa" w:w="90"/>
            </w:tcMar>
            <w:vAlign w:val="center"/>
          </w:tcPr>
          <w:p>
            <w:pPr>
              <w:spacing w:after="0" w:line="248"/>
            </w:pPr>
            <w:r>
              <w:rPr>
                <w:rFonts w:ascii="Calibri" w:cs="Calibri" w:eastAsia="Calibri" w:hAnsi="Calibri"/>
                <w:b/>
                <w:bCs/>
                <w:i w:val="false"/>
                <w:iCs w:val="false"/>
                <w:color w:val="1F2933"/>
                <w:sz w:val="19"/>
                <w:szCs w:val="19"/>
              </w:rPr>
              <w:t xml:space="preserve">Stop-signal onset</w:t>
            </w:r>
          </w:p>
        </w:tc>
        <w:tc>
          <w:tcPr>
            <w:tcW w:type="dxa" w:w="348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9"/>
                <w:szCs w:val="19"/>
              </w:rPr>
              <w:t xml:space="preserve">stop cue appears</w:t>
            </w:r>
          </w:p>
        </w:tc>
        <w:tc>
          <w:tcPr>
            <w:tcW w:type="dxa" w:w="368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9"/>
                <w:szCs w:val="19"/>
              </w:rPr>
              <w:t xml:space="preserve">first hard-limit breach designated as escalation-triggering</w:t>
            </w:r>
          </w:p>
        </w:tc>
      </w:tr>
      <w:tr>
        <w:tc>
          <w:tcPr>
            <w:tcW w:type="dxa" w:w="2200"/>
            <w:shd w:fill="CFE2F3" w:color="auto" w:val="clear"/>
            <w:tcMar>
              <w:top w:type="dxa" w:w="70"/>
              <w:left w:type="dxa" w:w="90"/>
              <w:bottom w:type="dxa" w:w="70"/>
              <w:right w:type="dxa" w:w="90"/>
            </w:tcMar>
            <w:vAlign w:val="center"/>
          </w:tcPr>
          <w:p>
            <w:pPr>
              <w:spacing w:after="0" w:line="248"/>
            </w:pPr>
            <w:r>
              <w:rPr>
                <w:rFonts w:ascii="Calibri" w:cs="Calibri" w:eastAsia="Calibri" w:hAnsi="Calibri"/>
                <w:b/>
                <w:bCs/>
                <w:i w:val="false"/>
                <w:iCs w:val="false"/>
                <w:color w:val="1F2933"/>
                <w:sz w:val="19"/>
                <w:szCs w:val="19"/>
              </w:rPr>
              <w:t xml:space="preserve">STOP process</w:t>
            </w:r>
          </w:p>
        </w:tc>
        <w:tc>
          <w:tcPr>
            <w:tcW w:type="dxa" w:w="348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9"/>
                <w:szCs w:val="19"/>
              </w:rPr>
              <w:t xml:space="preserve">rIFC / pre-SMA → STN cancellation</w:t>
            </w:r>
          </w:p>
        </w:tc>
        <w:tc>
          <w:tcPr>
            <w:tcW w:type="dxa" w:w="368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9"/>
                <w:szCs w:val="19"/>
              </w:rPr>
              <w:t xml:space="preserve">risk function’s escalation → halt</w:t>
            </w:r>
          </w:p>
        </w:tc>
      </w:tr>
      <w:tr>
        <w:tc>
          <w:tcPr>
            <w:tcW w:type="dxa" w:w="2200"/>
            <w:shd w:fill="CFE2F3" w:color="auto" w:val="clear"/>
            <w:tcMar>
              <w:top w:type="dxa" w:w="70"/>
              <w:left w:type="dxa" w:w="90"/>
              <w:bottom w:type="dxa" w:w="70"/>
              <w:right w:type="dxa" w:w="90"/>
            </w:tcMar>
            <w:vAlign w:val="center"/>
          </w:tcPr>
          <w:p>
            <w:pPr>
              <w:spacing w:after="0" w:line="248"/>
            </w:pPr>
            <w:r>
              <w:rPr>
                <w:rFonts w:ascii="Calibri" w:cs="Calibri" w:eastAsia="Calibri" w:hAnsi="Calibri"/>
                <w:b/>
                <w:bCs/>
                <w:i w:val="false"/>
                <w:iCs w:val="false"/>
                <w:color w:val="1F2933"/>
                <w:sz w:val="19"/>
                <w:szCs w:val="19"/>
              </w:rPr>
              <w:t xml:space="preserve">STOP finish (= L)</w:t>
            </w:r>
          </w:p>
        </w:tc>
        <w:tc>
          <w:tcPr>
            <w:tcW w:type="dxa" w:w="348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9"/>
                <w:szCs w:val="19"/>
              </w:rPr>
              <w:t xml:space="preserve">SSRT</w:t>
            </w:r>
          </w:p>
        </w:tc>
        <w:tc>
          <w:tcPr>
            <w:tcW w:type="dxa" w:w="368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9"/>
                <w:szCs w:val="19"/>
              </w:rPr>
              <w:t xml:space="preserve">breach-onset → “phones-down” duration</w:t>
            </w:r>
          </w:p>
        </w:tc>
      </w:tr>
    </w:tbl>
    <w:p>
      <w:pPr>
        <w:pStyle w:val="Heading2"/>
        <w:spacing w:after="90" w:before="220"/>
      </w:pPr>
      <w:r>
        <w:rPr>
          <w:rFonts w:ascii="Calibri" w:cs="Calibri" w:eastAsia="Calibri" w:hAnsi="Calibri"/>
          <w:b/>
          <w:bCs/>
          <w:i w:val="false"/>
          <w:iCs w:val="false"/>
          <w:color w:val="1F2933"/>
          <w:sz w:val="25"/>
          <w:szCs w:val="25"/>
        </w:rPr>
        <w:t xml:space="preserve">The dimensionless criterion — and why it also blunts catch #2</w:t>
      </w:r>
    </w:p>
    <w:p>
      <w:pPr>
        <w:spacing w:after="120" w:before="0" w:line="264"/>
      </w:pPr>
      <w:r>
        <w:rPr>
          <w:rFonts w:ascii="Calibri" w:cs="Calibri" w:eastAsia="Calibri" w:hAnsi="Calibri"/>
          <w:b w:val="false"/>
          <w:bCs w:val="false"/>
          <w:i w:val="false"/>
          <w:iCs w:val="false"/>
          <w:color w:val="1F2933"/>
          <w:sz w:val="22"/>
          <w:szCs w:val="22"/>
        </w:rPr>
        <w:t xml:space="preserve">Normalize the stop duration by the go-time remaining when the stop began:</w:t>
      </w:r>
    </w:p>
    <w:tbl>
      <w:tblPr>
        <w:tblW w:type="dxa" w:w="9360"/>
        <w:tblBorders>
          <w:top w:val="single" w:color="1B4965" w:sz="8"/>
          <w:left w:val="single" w:color="1B4965" w:sz="8"/>
          <w:bottom w:val="single" w:color="1B4965" w:sz="8"/>
          <w:right w:val="single" w:color="1B4965" w:sz="8"/>
          <w:insideH w:val="none"/>
          <w:insideV w:val="none"/>
        </w:tblBorders>
      </w:tblPr>
      <w:tblGrid>
        <w:gridCol w:w="9360"/>
      </w:tblGrid>
      <w:tr>
        <w:tc>
          <w:tcPr>
            <w:tcW w:type="dxa" w:w="9360"/>
            <w:shd w:fill="EEF3F7" w:color="auto" w:val="clear"/>
            <w:tcMar>
              <w:top w:type="dxa" w:w="140"/>
              <w:left w:type="dxa" w:w="170"/>
              <w:bottom w:type="dxa" w:w="140"/>
              <w:right w:type="dxa" w:w="170"/>
            </w:tcMar>
          </w:tcPr>
          <w:p>
            <w:pPr>
              <w:spacing w:after="40" w:before="0" w:line="264"/>
              <w:jc w:val="center"/>
            </w:pPr>
            <w:r>
              <w:rPr>
                <w:rFonts w:ascii="Calibri" w:cs="Calibri" w:eastAsia="Calibri" w:hAnsi="Calibri"/>
                <w:b/>
                <w:bCs/>
                <w:i w:val="false"/>
                <w:iCs w:val="false"/>
                <w:color w:val="1B4965"/>
                <w:sz w:val="24"/>
                <w:szCs w:val="24"/>
              </w:rPr>
              <w:t xml:space="preserve">ρ  =  L(stop)  /  ( t(go-finish) − t(stop-onset) )</w:t>
            </w:r>
          </w:p>
          <w:p>
            <w:pPr>
              <w:spacing w:after="0" w:before="0" w:line="264"/>
              <w:jc w:val="center"/>
            </w:pPr>
            <w:r>
              <w:rPr>
                <w:rFonts w:ascii="Calibri" w:cs="Calibri" w:eastAsia="Calibri" w:hAnsi="Calibri"/>
                <w:b w:val="false"/>
                <w:bCs w:val="false"/>
                <w:i w:val="false"/>
                <w:iCs w:val="false"/>
                <w:color w:val="1F2933"/>
                <w:sz w:val="22"/>
                <w:szCs w:val="22"/>
              </w:rPr>
              <w:t xml:space="preserve">ρ &lt; 1 → inhibition wins.   ρ ≥ 1 → failure.   The critical value ρ* = 1 is given </w:t>
            </w:r>
            <w:r>
              <w:rPr>
                <w:rFonts w:ascii="Calibri" w:cs="Calibri" w:eastAsia="Calibri" w:hAnsi="Calibri"/>
                <w:b w:val="false"/>
                <w:bCs w:val="false"/>
                <w:i/>
                <w:iCs/>
                <w:color w:val="1F2933"/>
                <w:sz w:val="22"/>
                <w:szCs w:val="22"/>
              </w:rPr>
              <w:t xml:space="preserve">a priori</w:t>
            </w:r>
            <w:r>
              <w:rPr>
                <w:rFonts w:ascii="Calibri" w:cs="Calibri" w:eastAsia="Calibri" w:hAnsi="Calibri"/>
                <w:b w:val="false"/>
                <w:bCs w:val="false"/>
                <w:i w:val="false"/>
                <w:iCs w:val="false"/>
                <w:color w:val="1F2933"/>
                <w:sz w:val="22"/>
                <w:szCs w:val="22"/>
              </w:rPr>
              <w:t xml:space="preserve"> by the race model — not fit from the blow-ups.</w:t>
            </w:r>
          </w:p>
        </w:tc>
      </w:tr>
    </w:tbl>
    <w:p>
      <w:pPr>
        <w:spacing w:after="120" w:before="0" w:line="264"/>
      </w:pPr>
      <w:r>
        <w:rPr>
          <w:rFonts w:ascii="Calibri" w:cs="Calibri" w:eastAsia="Calibri" w:hAnsi="Calibri"/>
          <w:b w:val="false"/>
          <w:bCs w:val="false"/>
          <w:i w:val="false"/>
          <w:iCs w:val="false"/>
          <w:color w:val="1F2933"/>
          <w:sz w:val="22"/>
          <w:szCs w:val="22"/>
        </w:rPr>
        <w:t xml:space="preserve">This is the structural answer to selection-on-the-outcome. You are no longer trying to </w:t>
      </w:r>
      <w:r>
        <w:rPr>
          <w:rFonts w:ascii="Calibri" w:cs="Calibri" w:eastAsia="Calibri" w:hAnsi="Calibri"/>
          <w:b w:val="false"/>
          <w:bCs w:val="false"/>
          <w:i/>
          <w:iCs/>
          <w:color w:val="1F2933"/>
          <w:sz w:val="22"/>
          <w:szCs w:val="22"/>
        </w:rPr>
        <w:t xml:space="preserve">locate</w:t>
      </w:r>
      <w:r>
        <w:rPr>
          <w:rFonts w:ascii="Calibri" w:cs="Calibri" w:eastAsia="Calibri" w:hAnsi="Calibri"/>
          <w:b w:val="false"/>
          <w:bCs w:val="false"/>
          <w:i w:val="false"/>
          <w:iCs w:val="false"/>
          <w:color w:val="1F2933"/>
          <w:sz w:val="22"/>
          <w:szCs w:val="22"/>
        </w:rPr>
        <w:t xml:space="preserve"> an unknown threshold inside a failure-only distribution; you are testing whether failures fall at ρ ≥ 1 and survivors at ρ &lt; 1 against a </w:t>
      </w:r>
      <w:r>
        <w:rPr>
          <w:rFonts w:ascii="Calibri" w:cs="Calibri" w:eastAsia="Calibri" w:hAnsi="Calibri"/>
          <w:b w:val="false"/>
          <w:bCs w:val="false"/>
          <w:i/>
          <w:iCs/>
          <w:color w:val="1F2933"/>
          <w:sz w:val="22"/>
          <w:szCs w:val="22"/>
        </w:rPr>
        <w:t xml:space="preserve">predicted</w:t>
      </w:r>
      <w:r>
        <w:rPr>
          <w:rFonts w:ascii="Calibri" w:cs="Calibri" w:eastAsia="Calibri" w:hAnsi="Calibri"/>
          <w:b w:val="false"/>
          <w:bCs w:val="false"/>
          <w:i w:val="false"/>
          <w:iCs w:val="false"/>
          <w:color w:val="1F2933"/>
          <w:sz w:val="22"/>
          <w:szCs w:val="22"/>
        </w:rPr>
        <w:t xml:space="preserve"> line. Archegos halted at or past irreversibility (ρ ≈ 1⁺, predicted failure); Goldman and Morgan Stanley — same motif, same week, same counterparty — halted before it (ρ &lt; 1, predicted survival).</w:t>
      </w:r>
    </w:p>
    <w:p>
      <w:pPr>
        <w:spacing w:after="120" w:before="0" w:line="264"/>
      </w:pPr>
      <w:r>
        <w:rPr>
          <w:rFonts w:ascii="Calibri" w:cs="Calibri" w:eastAsia="Calibri" w:hAnsi="Calibri"/>
          <w:b w:val="false"/>
          <w:bCs w:val="false"/>
          <w:i w:val="false"/>
          <w:iCs w:val="false"/>
          <w:color w:val="1F2933"/>
          <w:sz w:val="22"/>
          <w:szCs w:val="22"/>
        </w:rPr>
        <w:t xml:space="preserve">The survivor cohort remains a </w:t>
      </w:r>
      <w:r>
        <w:rPr>
          <w:rFonts w:ascii="Calibri" w:cs="Calibri" w:eastAsia="Calibri" w:hAnsi="Calibri"/>
          <w:b/>
          <w:bCs/>
          <w:i w:val="false"/>
          <w:iCs w:val="false"/>
          <w:color w:val="1F2933"/>
          <w:sz w:val="22"/>
          <w:szCs w:val="22"/>
        </w:rPr>
        <w:t xml:space="preserve">hard precondition</w:t>
      </w:r>
      <w:r>
        <w:rPr>
          <w:rFonts w:ascii="Calibri" w:cs="Calibri" w:eastAsia="Calibri" w:hAnsi="Calibri"/>
          <w:b w:val="false"/>
          <w:bCs w:val="false"/>
          <w:i w:val="false"/>
          <w:iCs w:val="false"/>
          <w:color w:val="1F2933"/>
          <w:sz w:val="22"/>
          <w:szCs w:val="22"/>
        </w:rPr>
        <w:t xml:space="preserve">: no ρ* claim without a matched non-failure distribution. But it now validates a prediction rather than reverse-engineering a number — a far stronger design. And note the instrument inversion once more: on the neural side L is latent and must be estimated; on the business side the halt has a timestamp, so L is directly observed. Business is the </w:t>
      </w:r>
      <w:r>
        <w:rPr>
          <w:rFonts w:ascii="Calibri" w:cs="Calibri" w:eastAsia="Calibri" w:hAnsi="Calibri"/>
          <w:b w:val="false"/>
          <w:bCs w:val="false"/>
          <w:i/>
          <w:iCs/>
          <w:color w:val="1F2933"/>
          <w:sz w:val="22"/>
          <w:szCs w:val="22"/>
        </w:rPr>
        <w:t xml:space="preserve">less-latent</w:t>
      </w:r>
      <w:r>
        <w:rPr>
          <w:rFonts w:ascii="Calibri" w:cs="Calibri" w:eastAsia="Calibri" w:hAnsi="Calibri"/>
          <w:b w:val="false"/>
          <w:bCs w:val="false"/>
          <w:i w:val="false"/>
          <w:iCs w:val="false"/>
          <w:color w:val="1F2933"/>
          <w:sz w:val="22"/>
          <w:szCs w:val="22"/>
        </w:rPr>
        <w:t xml:space="preserve"> instrument for the very quantity neuroscience has to infer.</w:t>
      </w:r>
    </w:p>
    <w:p>
      <w:pPr>
        <w:pStyle w:val="Heading2"/>
        <w:spacing w:after="90" w:before="220"/>
      </w:pPr>
      <w:r>
        <w:rPr>
          <w:rFonts w:ascii="Calibri" w:cs="Calibri" w:eastAsia="Calibri" w:hAnsi="Calibri"/>
          <w:b/>
          <w:bCs/>
          <w:i w:val="false"/>
          <w:iCs w:val="false"/>
          <w:color w:val="1F2933"/>
          <w:sz w:val="25"/>
          <w:szCs w:val="25"/>
        </w:rPr>
        <w:t xml:space="preserve">Two things this forces into the record</w:t>
      </w:r>
    </w:p>
    <w:p>
      <w:pPr>
        <w:pStyle w:val="ListParagraph"/>
        <w:numPr>
          <w:ilvl w:val="0"/>
          <w:numId w:val="1"/>
        </w:numPr>
        <w:spacing w:after="80" w:line="264"/>
      </w:pPr>
      <w:r>
        <w:rPr>
          <w:rFonts w:ascii="Calibri" w:cs="Calibri" w:eastAsia="Calibri" w:hAnsi="Calibri"/>
          <w:b/>
          <w:bCs/>
          <w:i w:val="false"/>
          <w:iCs w:val="false"/>
          <w:color w:val="1F2933"/>
          <w:sz w:val="22"/>
          <w:szCs w:val="22"/>
        </w:rPr>
        <w:t xml:space="preserve">M1 was two brakes. </w:t>
      </w:r>
      <w:r>
        <w:rPr>
          <w:rFonts w:ascii="Calibri" w:cs="Calibri" w:eastAsia="Calibri" w:hAnsi="Calibri"/>
          <w:b w:val="false"/>
          <w:bCs w:val="false"/>
          <w:i w:val="false"/>
          <w:iCs w:val="false"/>
          <w:color w:val="1F2933"/>
          <w:sz w:val="22"/>
          <w:szCs w:val="22"/>
        </w:rPr>
        <w:t xml:space="preserve">“Top-down inhibitory brake” must be split: memory-based contextual gating (not latency-commensurable) and race-based stopping (commensurable). Only the second can run the flagship test. That is a crosswalk edit, not a footnote.</w:t>
      </w:r>
    </w:p>
    <w:p>
      <w:pPr>
        <w:pStyle w:val="ListParagraph"/>
        <w:numPr>
          <w:ilvl w:val="0"/>
          <w:numId w:val="1"/>
        </w:numPr>
        <w:spacing w:after="80" w:line="264"/>
      </w:pPr>
      <w:r>
        <w:rPr>
          <w:rFonts w:ascii="Calibri" w:cs="Calibri" w:eastAsia="Calibri" w:hAnsi="Calibri"/>
          <w:b/>
          <w:bCs/>
          <w:i w:val="false"/>
          <w:iCs w:val="false"/>
          <w:color w:val="1F2933"/>
          <w:sz w:val="22"/>
          <w:szCs w:val="22"/>
        </w:rPr>
        <w:t xml:space="preserve">The shared load-bearing assumption is independence. </w:t>
      </w:r>
      <w:r>
        <w:rPr>
          <w:rFonts w:ascii="Calibri" w:cs="Calibri" w:eastAsia="Calibri" w:hAnsi="Calibri"/>
          <w:b w:val="false"/>
          <w:bCs w:val="false"/>
          <w:i w:val="false"/>
          <w:iCs w:val="false"/>
          <w:color w:val="1F2933"/>
          <w:sz w:val="22"/>
          <w:szCs w:val="22"/>
        </w:rPr>
        <w:t xml:space="preserve">The race model assumes the go and stop processes are stochastically independent. That is contested even within neuroscience, and on the business side it is almost certainly violated — a breach changes trader behavior, so stop and go interact. Independence must therefore be tested in </w:t>
      </w:r>
      <w:r>
        <w:rPr>
          <w:rFonts w:ascii="Calibri" w:cs="Calibri" w:eastAsia="Calibri" w:hAnsi="Calibri"/>
          <w:b w:val="false"/>
          <w:bCs w:val="false"/>
          <w:i/>
          <w:iCs/>
          <w:color w:val="1F2933"/>
          <w:sz w:val="22"/>
          <w:szCs w:val="22"/>
        </w:rPr>
        <w:t xml:space="preserve">both</w:t>
      </w:r>
      <w:r>
        <w:rPr>
          <w:rFonts w:ascii="Calibri" w:cs="Calibri" w:eastAsia="Calibri" w:hAnsi="Calibri"/>
          <w:b w:val="false"/>
          <w:bCs w:val="false"/>
          <w:i w:val="false"/>
          <w:iCs w:val="false"/>
          <w:color w:val="1F2933"/>
          <w:sz w:val="22"/>
          <w:szCs w:val="22"/>
        </w:rPr>
        <w:t xml:space="preserve"> domains; if it fails, it fails informatively, telling you the clean ratio governs neither side.</w:t>
      </w:r>
    </w:p>
    <w:p>
      <w:r>
        <w:br w:type="page"/>
      </w:r>
    </w:p>
    <w:p>
      <w:pPr>
        <w:pStyle w:val="Heading1"/>
        <w:spacing w:after="120" w:before="280"/>
      </w:pPr>
      <w:r>
        <w:rPr>
          <w:rFonts w:ascii="Calibri" w:cs="Calibri" w:eastAsia="Calibri" w:hAnsi="Calibri"/>
          <w:b/>
          <w:bCs/>
          <w:i w:val="false"/>
          <w:iCs w:val="false"/>
          <w:color w:val="1B4965"/>
          <w:sz w:val="30"/>
          <w:szCs w:val="30"/>
        </w:rPr>
        <w:t xml:space="preserve">Part B — Which motifs can bear fractal weight</w:t>
      </w:r>
    </w:p>
    <w:p>
      <w:pPr>
        <w:pStyle w:val="Heading2"/>
        <w:spacing w:after="90" w:before="220"/>
      </w:pPr>
      <w:r>
        <w:rPr>
          <w:rFonts w:ascii="Calibri" w:cs="Calibri" w:eastAsia="Calibri" w:hAnsi="Calibri"/>
          <w:b/>
          <w:bCs/>
          <w:i w:val="false"/>
          <w:iCs w:val="false"/>
          <w:color w:val="1F2933"/>
          <w:sz w:val="25"/>
          <w:szCs w:val="25"/>
        </w:rPr>
        <w:t xml:space="preserve">Three theses, so the trade is chosen rather than absorbed</w:t>
      </w:r>
    </w:p>
    <w:p>The prospectus’s §2 and §9 together concede that a confirmed invariant “neither requires believing the brain built the bank.” That silently swaps one doctrine for a weaker one. Name all three so the choice is explicit:</w:p>
    <w:p>
      <w:pPr>
        <w:pStyle w:val="ListParagraph"/>
        <w:numPr>
          <w:ilvl w:val="0"/>
          <w:numId w:val="1"/>
        </w:numPr>
        <w:spacing w:after="80" w:line="264"/>
      </w:pPr>
      <w:r>
        <w:rPr>
          <w:rFonts w:ascii="Calibri" w:cs="Calibri" w:eastAsia="Calibri" w:hAnsi="Calibri"/>
          <w:b/>
          <w:bCs/>
          <w:i w:val="false"/>
          <w:iCs w:val="false"/>
          <w:color w:val="1F2933"/>
          <w:sz w:val="22"/>
          <w:szCs w:val="22"/>
        </w:rPr>
        <w:t xml:space="preserve">T1 — strong recursion (Helix’s stated doctrine). </w:t>
      </w:r>
      <w:r>
        <w:rPr>
          <w:rFonts w:ascii="Calibri" w:cs="Calibri" w:eastAsia="Calibri" w:hAnsi="Calibri"/>
          <w:b w:val="false"/>
          <w:bCs w:val="false"/>
          <w:i w:val="false"/>
          <w:iCs w:val="false"/>
          <w:color w:val="1F2933"/>
          <w:sz w:val="22"/>
          <w:szCs w:val="22"/>
        </w:rPr>
        <w:t xml:space="preserve">The brain is scale zero; higher-scale self-similarity is generated </w:t>
      </w:r>
      <w:r>
        <w:rPr>
          <w:rFonts w:ascii="Calibri" w:cs="Calibri" w:eastAsia="Calibri" w:hAnsi="Calibri"/>
          <w:b w:val="false"/>
          <w:bCs w:val="false"/>
          <w:i/>
          <w:iCs/>
          <w:color w:val="1F2933"/>
          <w:sz w:val="22"/>
          <w:szCs w:val="22"/>
        </w:rPr>
        <w:t xml:space="preserve">from</w:t>
      </w:r>
      <w:r>
        <w:rPr>
          <w:rFonts w:ascii="Calibri" w:cs="Calibri" w:eastAsia="Calibri" w:hAnsi="Calibri"/>
          <w:b w:val="false"/>
          <w:bCs w:val="false"/>
          <w:i w:val="false"/>
          <w:iCs w:val="false"/>
          <w:color w:val="1F2933"/>
          <w:sz w:val="22"/>
          <w:szCs w:val="22"/>
        </w:rPr>
        <w:t xml:space="preserve"> the neural substrate.</w:t>
      </w:r>
    </w:p>
    <w:p>
      <w:pPr>
        <w:pStyle w:val="ListParagraph"/>
        <w:numPr>
          <w:ilvl w:val="0"/>
          <w:numId w:val="1"/>
        </w:numPr>
        <w:spacing w:after="80" w:line="264"/>
      </w:pPr>
      <w:r>
        <w:rPr>
          <w:rFonts w:ascii="Calibri" w:cs="Calibri" w:eastAsia="Calibri" w:hAnsi="Calibri"/>
          <w:b/>
          <w:bCs/>
          <w:i w:val="false"/>
          <w:iCs w:val="false"/>
          <w:color w:val="1F2933"/>
          <w:sz w:val="22"/>
          <w:szCs w:val="22"/>
        </w:rPr>
        <w:t xml:space="preserve">T2 — descent through designers (the middle the prospectus skips). </w:t>
      </w:r>
      <w:r>
        <w:rPr>
          <w:rFonts w:ascii="Calibri" w:cs="Calibri" w:eastAsia="Calibri" w:hAnsi="Calibri"/>
          <w:b w:val="false"/>
          <w:bCs w:val="false"/>
          <w:i w:val="false"/>
          <w:iCs w:val="false"/>
          <w:color w:val="1F2933"/>
          <w:sz w:val="22"/>
          <w:szCs w:val="22"/>
        </w:rPr>
        <w:t xml:space="preserve">Brains build institutions and carry characteristic control-structure signatures, so institutions </w:t>
      </w:r>
      <w:r>
        <w:rPr>
          <w:rFonts w:ascii="Calibri" w:cs="Calibri" w:eastAsia="Calibri" w:hAnsi="Calibri"/>
          <w:b w:val="false"/>
          <w:bCs w:val="false"/>
          <w:i/>
          <w:iCs/>
          <w:color w:val="1F2933"/>
          <w:sz w:val="22"/>
          <w:szCs w:val="22"/>
        </w:rPr>
        <w:t xml:space="preserve">inherit</w:t>
      </w:r>
      <w:r>
        <w:rPr>
          <w:rFonts w:ascii="Calibri" w:cs="Calibri" w:eastAsia="Calibri" w:hAnsi="Calibri"/>
          <w:b w:val="false"/>
          <w:bCs w:val="false"/>
          <w:i w:val="false"/>
          <w:iCs w:val="false"/>
          <w:color w:val="1F2933"/>
          <w:sz w:val="22"/>
          <w:szCs w:val="22"/>
        </w:rPr>
        <w:t xml:space="preserve"> those signatures through their human designers. Scale zero keeps real causal priority — it is the builder — but the mechanism is ordinary design, imitation, and selection, not fractal self-generation. This is the defensible remainder of “the brain built the bank,” and it is testable.</w:t>
      </w:r>
    </w:p>
    <w:p>
      <w:pPr>
        <w:pStyle w:val="ListParagraph"/>
        <w:numPr>
          <w:ilvl w:val="0"/>
          <w:numId w:val="1"/>
        </w:numPr>
        <w:spacing w:after="80" w:line="264"/>
      </w:pPr>
      <w:r>
        <w:rPr>
          <w:rFonts w:ascii="Calibri" w:cs="Calibri" w:eastAsia="Calibri" w:hAnsi="Calibri"/>
          <w:b/>
          <w:bCs/>
          <w:i w:val="false"/>
          <w:iCs w:val="false"/>
          <w:color w:val="1F2933"/>
          <w:sz w:val="22"/>
          <w:szCs w:val="22"/>
        </w:rPr>
        <w:t xml:space="preserve">T3 — convergence (what the prospectus actually defends). </w:t>
      </w:r>
      <w:r>
        <w:rPr>
          <w:rFonts w:ascii="Calibri" w:cs="Calibri" w:eastAsia="Calibri" w:hAnsi="Calibri"/>
          <w:b w:val="false"/>
          <w:bCs w:val="false"/>
          <w:i w:val="false"/>
          <w:iCs w:val="false"/>
          <w:color w:val="1F2933"/>
          <w:sz w:val="22"/>
          <w:szCs w:val="22"/>
        </w:rPr>
        <w:t xml:space="preserve">Independently evolved substrates obey the same control theory; no descent claim.</w:t>
      </w:r>
    </w:p>
    <w:p>
      <w:pPr>
        <w:pStyle w:val="Heading2"/>
        <w:spacing w:after="90" w:before="220"/>
      </w:pPr>
      <w:r>
        <w:rPr>
          <w:rFonts w:ascii="Calibri" w:cs="Calibri" w:eastAsia="Calibri" w:hAnsi="Calibri"/>
          <w:b/>
          <w:bCs/>
          <w:i w:val="false"/>
          <w:iCs w:val="false"/>
          <w:color w:val="1F2933"/>
          <w:sz w:val="25"/>
          <w:szCs w:val="25"/>
        </w:rPr>
        <w:t xml:space="preserve">The discriminator: convergence predicts shared optima; descent predicts shared mistakes</w:t>
      </w:r>
    </w:p>
    <w:p>
      <w:pPr>
        <w:spacing w:after="120" w:before="0" w:line="264"/>
      </w:pPr>
      <w:r>
        <w:rPr>
          <w:rFonts w:ascii="Calibri" w:cs="Calibri" w:eastAsia="Calibri" w:hAnsi="Calibri"/>
          <w:b w:val="false"/>
          <w:bCs w:val="false"/>
          <w:i w:val="false"/>
          <w:iCs w:val="false"/>
          <w:color w:val="1F2933"/>
          <w:sz w:val="22"/>
          <w:szCs w:val="22"/>
        </w:rPr>
        <w:t xml:space="preserve">An invariant discriminates the theses only if it is not </w:t>
      </w:r>
      <w:r>
        <w:rPr>
          <w:rFonts w:ascii="Calibri" w:cs="Calibri" w:eastAsia="Calibri" w:hAnsi="Calibri"/>
          <w:b w:val="false"/>
          <w:bCs w:val="false"/>
          <w:i/>
          <w:iCs/>
          <w:color w:val="1F2933"/>
          <w:sz w:val="22"/>
          <w:szCs w:val="22"/>
        </w:rPr>
        <w:t xml:space="preserve">forced</w:t>
      </w:r>
      <w:r>
        <w:rPr>
          <w:rFonts w:ascii="Calibri" w:cs="Calibri" w:eastAsia="Calibri" w:hAnsi="Calibri"/>
          <w:b w:val="false"/>
          <w:bCs w:val="false"/>
          <w:i w:val="false"/>
          <w:iCs w:val="false"/>
          <w:color w:val="1F2933"/>
          <w:sz w:val="22"/>
          <w:szCs w:val="22"/>
        </w:rPr>
        <w:t xml:space="preserve">. Two systems that each solved the control problem well land on the same good solution — that is convergence (T3), and it is </w:t>
      </w:r>
      <w:r>
        <w:rPr>
          <w:rFonts w:ascii="Calibri" w:cs="Calibri" w:eastAsia="Calibri" w:hAnsi="Calibri"/>
          <w:b w:val="false"/>
          <w:bCs w:val="false"/>
          <w:i/>
          <w:iCs/>
          <w:color w:val="1F2933"/>
          <w:sz w:val="22"/>
          <w:szCs w:val="22"/>
        </w:rPr>
        <w:t xml:space="preserve">zero</w:t>
      </w:r>
      <w:r>
        <w:rPr>
          <w:rFonts w:ascii="Calibri" w:cs="Calibri" w:eastAsia="Calibri" w:hAnsi="Calibri"/>
          <w:b w:val="false"/>
          <w:bCs w:val="false"/>
          <w:i w:val="false"/>
          <w:iCs w:val="false"/>
          <w:color w:val="1F2933"/>
          <w:sz w:val="22"/>
          <w:szCs w:val="22"/>
        </w:rPr>
        <w:t xml:space="preserve"> information about descent; they would share it having never touched. But a </w:t>
      </w:r>
      <w:r>
        <w:rPr>
          <w:rFonts w:ascii="Calibri" w:cs="Calibri" w:eastAsia="Calibri" w:hAnsi="Calibri"/>
          <w:b/>
          <w:bCs/>
          <w:i w:val="false"/>
          <w:iCs w:val="false"/>
          <w:color w:val="1F2933"/>
          <w:sz w:val="22"/>
          <w:szCs w:val="22"/>
        </w:rPr>
        <w:t xml:space="preserve">costly, arbitrary</w:t>
      </w:r>
      <w:r>
        <w:rPr>
          <w:rFonts w:ascii="Calibri" w:cs="Calibri" w:eastAsia="Calibri" w:hAnsi="Calibri"/>
          <w:b w:val="false"/>
          <w:bCs w:val="false"/>
          <w:i w:val="false"/>
          <w:iCs w:val="false"/>
          <w:color w:val="1F2933"/>
          <w:sz w:val="22"/>
          <w:szCs w:val="22"/>
        </w:rPr>
        <w:t xml:space="preserve"> feature present in both is unexplained by “both solved it well” and explained by “one inherited the other’s baggage.” So the fractal program should hunt </w:t>
      </w:r>
      <w:r>
        <w:rPr>
          <w:rFonts w:ascii="Calibri" w:cs="Calibri" w:eastAsia="Calibri" w:hAnsi="Calibri"/>
          <w:b/>
          <w:bCs/>
          <w:i w:val="false"/>
          <w:iCs w:val="false"/>
          <w:color w:val="1F2933"/>
          <w:sz w:val="22"/>
          <w:szCs w:val="22"/>
        </w:rPr>
        <w:t xml:space="preserve">shared suboptimalities</w:t>
      </w:r>
      <w:r>
        <w:rPr>
          <w:rFonts w:ascii="Calibri" w:cs="Calibri" w:eastAsia="Calibri" w:hAnsi="Calibri"/>
          <w:b w:val="false"/>
          <w:bCs w:val="false"/>
          <w:i w:val="false"/>
          <w:iCs w:val="false"/>
          <w:color w:val="1F2933"/>
          <w:sz w:val="22"/>
          <w:szCs w:val="22"/>
        </w:rPr>
        <w:t xml:space="preserve">, not shared stability laws. The classification below is exactly that filter:</w:t>
      </w:r>
    </w:p>
    <w:p>
      <w:pPr>
        <w:pStyle w:val="ListParagraph"/>
        <w:numPr>
          <w:ilvl w:val="0"/>
          <w:numId w:val="1"/>
        </w:numPr>
        <w:spacing w:after="80" w:line="264"/>
      </w:pPr>
      <w:r>
        <w:rPr>
          <w:rFonts w:ascii="Calibri" w:cs="Calibri" w:eastAsia="Calibri" w:hAnsi="Calibri"/>
          <w:b/>
          <w:bCs/>
          <w:i w:val="false"/>
          <w:iCs w:val="false"/>
          <w:color w:val="1F2933"/>
          <w:sz w:val="22"/>
          <w:szCs w:val="22"/>
        </w:rPr>
        <w:t xml:space="preserve">T3-generic — </w:t>
      </w:r>
      <w:r>
        <w:rPr>
          <w:rFonts w:ascii="Calibri" w:cs="Calibri" w:eastAsia="Calibri" w:hAnsi="Calibri"/>
          <w:b w:val="false"/>
          <w:bCs w:val="false"/>
          <w:i w:val="false"/>
          <w:iCs w:val="false"/>
          <w:color w:val="1F2933"/>
          <w:sz w:val="22"/>
          <w:szCs w:val="22"/>
        </w:rPr>
        <w:t xml:space="preserve">the invariant is a theorem of control theory (Nyquist for delayed feedback, ρ*=1 for a race, entrainment for coupled oscillators). Any system with that loop topology has it by necessity. Doctrine-neutral.</w:t>
      </w:r>
    </w:p>
    <w:p>
      <w:pPr>
        <w:pStyle w:val="ListParagraph"/>
        <w:numPr>
          <w:ilvl w:val="0"/>
          <w:numId w:val="1"/>
        </w:numPr>
        <w:spacing w:after="80" w:line="264"/>
      </w:pPr>
      <w:r>
        <w:rPr>
          <w:rFonts w:ascii="Calibri" w:cs="Calibri" w:eastAsia="Calibri" w:hAnsi="Calibri"/>
          <w:b/>
          <w:bCs/>
          <w:i w:val="false"/>
          <w:iCs w:val="false"/>
          <w:color w:val="1F2933"/>
          <w:sz w:val="22"/>
          <w:szCs w:val="22"/>
        </w:rPr>
        <w:t xml:space="preserve">T2-candidate — </w:t>
      </w:r>
      <w:r>
        <w:rPr>
          <w:rFonts w:ascii="Calibri" w:cs="Calibri" w:eastAsia="Calibri" w:hAnsi="Calibri"/>
          <w:b w:val="false"/>
          <w:bCs w:val="false"/>
          <w:i w:val="false"/>
          <w:iCs w:val="false"/>
          <w:color w:val="1F2933"/>
          <w:sz w:val="22"/>
          <w:szCs w:val="22"/>
        </w:rPr>
        <w:t xml:space="preserve">the invariant involves a free parameter the control problem does not fix, </w:t>
      </w:r>
      <w:r>
        <w:rPr>
          <w:rFonts w:ascii="Calibri" w:cs="Calibri" w:eastAsia="Calibri" w:hAnsi="Calibri"/>
          <w:b w:val="false"/>
          <w:bCs w:val="false"/>
          <w:i/>
          <w:iCs/>
          <w:color w:val="1F2933"/>
          <w:sz w:val="22"/>
          <w:szCs w:val="22"/>
        </w:rPr>
        <w:t xml:space="preserve">and</w:t>
      </w:r>
      <w:r>
        <w:rPr>
          <w:rFonts w:ascii="Calibri" w:cs="Calibri" w:eastAsia="Calibri" w:hAnsi="Calibri"/>
          <w:b w:val="false"/>
          <w:bCs w:val="false"/>
          <w:i w:val="false"/>
          <w:iCs w:val="false"/>
          <w:color w:val="1F2933"/>
          <w:sz w:val="22"/>
          <w:szCs w:val="22"/>
        </w:rPr>
        <w:t xml:space="preserve"> brain and business sit at the same particular value, </w:t>
      </w:r>
      <w:r>
        <w:rPr>
          <w:rFonts w:ascii="Calibri" w:cs="Calibri" w:eastAsia="Calibri" w:hAnsi="Calibri"/>
          <w:b w:val="false"/>
          <w:bCs w:val="false"/>
          <w:i/>
          <w:iCs/>
          <w:color w:val="1F2933"/>
          <w:sz w:val="22"/>
          <w:szCs w:val="22"/>
        </w:rPr>
        <w:t xml:space="preserve">and</w:t>
      </w:r>
      <w:r>
        <w:rPr>
          <w:rFonts w:ascii="Calibri" w:cs="Calibri" w:eastAsia="Calibri" w:hAnsi="Calibri"/>
          <w:b w:val="false"/>
          <w:bCs w:val="false"/>
          <w:i w:val="false"/>
          <w:iCs w:val="false"/>
          <w:color w:val="1F2933"/>
          <w:sz w:val="22"/>
          <w:szCs w:val="22"/>
        </w:rPr>
        <w:t xml:space="preserve"> that value is arbitrary or costly rather than the independent optimum.</w:t>
      </w:r>
    </w:p>
    <w:p>
      <w:pPr>
        <w:pStyle w:val="Heading2"/>
        <w:spacing w:after="90" w:before="220"/>
      </w:pPr>
      <w:r>
        <w:rPr>
          <w:rFonts w:ascii="Calibri" w:cs="Calibri" w:eastAsia="Calibri" w:hAnsi="Calibri"/>
          <w:b/>
          <w:bCs/>
          <w:i w:val="false"/>
          <w:iCs w:val="false"/>
          <w:color w:val="1F2933"/>
          <w:sz w:val="25"/>
          <w:szCs w:val="25"/>
        </w:rPr>
        <w:t xml:space="preserve">The twelve motifs, sorted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550"/>
        <w:gridCol w:w="1900"/>
        <w:gridCol w:w="1730"/>
        <w:gridCol w:w="3800"/>
      </w:tblGrid>
      <w:tr>
        <w:trPr>
          <w:tblHeader/>
        </w:trPr>
        <w:tc>
          <w:tcPr>
            <w:tcW w:type="dxa" w:w="380"/>
            <w:shd w:fill="1B4965" w:color="auto" w:val="clear"/>
            <w:tcMar>
              <w:top w:type="dxa" w:w="70"/>
              <w:left w:type="dxa" w:w="90"/>
              <w:bottom w:type="dxa" w:w="70"/>
              <w:right w:type="dxa" w:w="90"/>
            </w:tcMar>
            <w:vAlign w:val="center"/>
          </w:tcPr>
          <w:p>
            <w:pPr>
              <w:spacing w:after="0"/>
            </w:pPr>
            <w:r>
              <w:rPr>
                <w:rFonts w:ascii="Calibri" w:cs="Calibri" w:eastAsia="Calibri" w:hAnsi="Calibri"/>
                <w:b/>
                <w:bCs/>
                <w:i w:val="false"/>
                <w:iCs w:val="false"/>
                <w:color w:val="FFFFFF"/>
                <w:sz w:val="19"/>
                <w:szCs w:val="19"/>
              </w:rPr>
              <w:t xml:space="preserve">#</w:t>
            </w:r>
          </w:p>
        </w:tc>
        <w:tc>
          <w:tcPr>
            <w:tcW w:type="dxa" w:w="1550"/>
            <w:shd w:fill="1B4965" w:color="auto" w:val="clear"/>
            <w:tcMar>
              <w:top w:type="dxa" w:w="70"/>
              <w:left w:type="dxa" w:w="90"/>
              <w:bottom w:type="dxa" w:w="70"/>
              <w:right w:type="dxa" w:w="90"/>
            </w:tcMar>
            <w:vAlign w:val="center"/>
          </w:tcPr>
          <w:p>
            <w:pPr>
              <w:spacing w:after="0"/>
            </w:pPr>
            <w:r>
              <w:rPr>
                <w:rFonts w:ascii="Calibri" w:cs="Calibri" w:eastAsia="Calibri" w:hAnsi="Calibri"/>
                <w:b/>
                <w:bCs/>
                <w:i w:val="false"/>
                <w:iCs w:val="false"/>
                <w:color w:val="FFFFFF"/>
                <w:sz w:val="19"/>
                <w:szCs w:val="19"/>
              </w:rPr>
              <w:t xml:space="preserve">Motif</w:t>
            </w:r>
          </w:p>
        </w:tc>
        <w:tc>
          <w:tcPr>
            <w:tcW w:type="dxa" w:w="1900"/>
            <w:shd w:fill="1B4965" w:color="auto" w:val="clear"/>
            <w:tcMar>
              <w:top w:type="dxa" w:w="70"/>
              <w:left w:type="dxa" w:w="90"/>
              <w:bottom w:type="dxa" w:w="70"/>
              <w:right w:type="dxa" w:w="90"/>
            </w:tcMar>
            <w:vAlign w:val="center"/>
          </w:tcPr>
          <w:p>
            <w:pPr>
              <w:spacing w:after="0"/>
            </w:pPr>
            <w:r>
              <w:rPr>
                <w:rFonts w:ascii="Calibri" w:cs="Calibri" w:eastAsia="Calibri" w:hAnsi="Calibri"/>
                <w:b/>
                <w:bCs/>
                <w:i w:val="false"/>
                <w:iCs w:val="false"/>
                <w:color w:val="FFFFFF"/>
                <w:sz w:val="19"/>
                <w:szCs w:val="19"/>
              </w:rPr>
              <w:t xml:space="preserve">Shared invariant</w:t>
            </w:r>
          </w:p>
        </w:tc>
        <w:tc>
          <w:tcPr>
            <w:tcW w:type="dxa" w:w="1730"/>
            <w:shd w:fill="1B4965" w:color="auto" w:val="clear"/>
            <w:tcMar>
              <w:top w:type="dxa" w:w="70"/>
              <w:left w:type="dxa" w:w="90"/>
              <w:bottom w:type="dxa" w:w="70"/>
              <w:right w:type="dxa" w:w="90"/>
            </w:tcMar>
            <w:vAlign w:val="center"/>
          </w:tcPr>
          <w:p>
            <w:pPr>
              <w:spacing w:after="0"/>
            </w:pPr>
            <w:r>
              <w:rPr>
                <w:rFonts w:ascii="Calibri" w:cs="Calibri" w:eastAsia="Calibri" w:hAnsi="Calibri"/>
                <w:b/>
                <w:bCs/>
                <w:i w:val="false"/>
                <w:iCs w:val="false"/>
                <w:color w:val="FFFFFF"/>
                <w:sz w:val="19"/>
                <w:szCs w:val="19"/>
              </w:rPr>
              <w:t xml:space="preserve">Class</w:t>
            </w:r>
          </w:p>
        </w:tc>
        <w:tc>
          <w:tcPr>
            <w:tcW w:type="dxa" w:w="3800"/>
            <w:shd w:fill="1B4965" w:color="auto" w:val="clear"/>
            <w:tcMar>
              <w:top w:type="dxa" w:w="70"/>
              <w:left w:type="dxa" w:w="90"/>
              <w:bottom w:type="dxa" w:w="70"/>
              <w:right w:type="dxa" w:w="90"/>
            </w:tcMar>
            <w:vAlign w:val="center"/>
          </w:tcPr>
          <w:p>
            <w:pPr>
              <w:spacing w:after="0"/>
            </w:pPr>
            <w:r>
              <w:rPr>
                <w:rFonts w:ascii="Calibri" w:cs="Calibri" w:eastAsia="Calibri" w:hAnsi="Calibri"/>
                <w:b/>
                <w:bCs/>
                <w:i w:val="false"/>
                <w:iCs w:val="false"/>
                <w:color w:val="FFFFFF"/>
                <w:sz w:val="19"/>
                <w:szCs w:val="19"/>
              </w:rPr>
              <w:t xml:space="preserve">Bears fractal weight?</w:t>
            </w:r>
          </w:p>
        </w:tc>
      </w:tr>
      <w:tr>
        <w:tc>
          <w:tcPr>
            <w:tcW w:type="dxa" w:w="38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1</w:t>
            </w:r>
          </w:p>
        </w:tc>
        <w:tc>
          <w:tcPr>
            <w:tcW w:type="dxa" w:w="1550"/>
            <w:tcMar>
              <w:top w:type="dxa" w:w="70"/>
              <w:left w:type="dxa" w:w="90"/>
              <w:bottom w:type="dxa" w:w="70"/>
              <w:right w:type="dxa" w:w="90"/>
            </w:tcMar>
            <w:vAlign w:val="center"/>
          </w:tcPr>
          <w:p>
            <w:pPr>
              <w:spacing w:after="0" w:line="248"/>
            </w:pPr>
            <w:r>
              <w:rPr>
                <w:rFonts w:ascii="Calibri" w:cs="Calibri" w:eastAsia="Calibri" w:hAnsi="Calibri"/>
                <w:b/>
                <w:bCs/>
                <w:i w:val="false"/>
                <w:iCs w:val="false"/>
                <w:color w:val="1F2933"/>
                <w:sz w:val="18"/>
                <w:szCs w:val="18"/>
              </w:rPr>
              <w:t xml:space="preserve">Inhibitory brake (stopping)</w:t>
            </w:r>
          </w:p>
        </w:tc>
        <w:tc>
          <w:tcPr>
            <w:tcW w:type="dxa" w:w="190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ρ*=1 race threshold</w:t>
            </w:r>
          </w:p>
        </w:tc>
        <w:tc>
          <w:tcPr>
            <w:tcW w:type="dxa" w:w="1730"/>
            <w:shd w:fill="FFF2CC" w:color="auto" w:val="clear"/>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T3 threshold / T2 on margin</w:t>
            </w:r>
          </w:p>
        </w:tc>
        <w:tc>
          <w:tcPr>
            <w:tcW w:type="dxa" w:w="3800"/>
            <w:shd w:fill="FFF2CC" w:color="auto" w:val="clear"/>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Secondary</w:t>
            </w:r>
          </w:p>
        </w:tc>
      </w:tr>
      <w:tr>
        <w:tc>
          <w:tcPr>
            <w:tcW w:type="dxa" w:w="38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2</w:t>
            </w:r>
          </w:p>
        </w:tc>
        <w:tc>
          <w:tcPr>
            <w:tcW w:type="dxa" w:w="1550"/>
            <w:tcMar>
              <w:top w:type="dxa" w:w="70"/>
              <w:left w:type="dxa" w:w="90"/>
              <w:bottom w:type="dxa" w:w="70"/>
              <w:right w:type="dxa" w:w="90"/>
            </w:tcMar>
            <w:vAlign w:val="center"/>
          </w:tcPr>
          <w:p>
            <w:pPr>
              <w:spacing w:after="0" w:line="248"/>
            </w:pPr>
            <w:r>
              <w:rPr>
                <w:rFonts w:ascii="Calibri" w:cs="Calibri" w:eastAsia="Calibri" w:hAnsi="Calibri"/>
                <w:b/>
                <w:bCs/>
                <w:i w:val="false"/>
                <w:iCs w:val="false"/>
                <w:color w:val="1F2933"/>
                <w:sz w:val="18"/>
                <w:szCs w:val="18"/>
              </w:rPr>
              <w:t xml:space="preserve">Gain / broadcast</w:t>
            </w:r>
          </w:p>
        </w:tc>
        <w:tc>
          <w:tcPr>
            <w:tcW w:type="dxa" w:w="190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inverted-U + broadcast fan-out</w:t>
            </w:r>
          </w:p>
        </w:tc>
        <w:tc>
          <w:tcPr>
            <w:tcW w:type="dxa" w:w="1730"/>
            <w:shd w:fill="ECEFF1" w:color="auto" w:val="clear"/>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T3 (topology + SNR)</w:t>
            </w:r>
          </w:p>
        </w:tc>
        <w:tc>
          <w:tcPr>
            <w:tcW w:type="dxa" w:w="3800"/>
            <w:shd w:fill="ECEFF1" w:color="auto" w:val="clear"/>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No — and T2 blocked until a business channel does precision, not discounting</w:t>
            </w:r>
          </w:p>
        </w:tc>
      </w:tr>
      <w:tr>
        <w:tc>
          <w:tcPr>
            <w:tcW w:type="dxa" w:w="38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3</w:t>
            </w:r>
          </w:p>
        </w:tc>
        <w:tc>
          <w:tcPr>
            <w:tcW w:type="dxa" w:w="1550"/>
            <w:tcMar>
              <w:top w:type="dxa" w:w="70"/>
              <w:left w:type="dxa" w:w="90"/>
              <w:bottom w:type="dxa" w:w="70"/>
              <w:right w:type="dxa" w:w="90"/>
            </w:tcMar>
            <w:vAlign w:val="center"/>
          </w:tcPr>
          <w:p>
            <w:pPr>
              <w:spacing w:after="0" w:line="248"/>
            </w:pPr>
            <w:r>
              <w:rPr>
                <w:rFonts w:ascii="Calibri" w:cs="Calibri" w:eastAsia="Calibri" w:hAnsi="Calibri"/>
                <w:b/>
                <w:bCs/>
                <w:i w:val="false"/>
                <w:iCs w:val="false"/>
                <w:color w:val="1F2933"/>
                <w:sz w:val="18"/>
                <w:szCs w:val="18"/>
              </w:rPr>
              <w:t xml:space="preserve">Homeostatic feedback</w:t>
            </w:r>
          </w:p>
        </w:tc>
        <w:tc>
          <w:tcPr>
            <w:tcW w:type="dxa" w:w="190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Nyquist (delay→oscillation)</w:t>
            </w:r>
          </w:p>
        </w:tc>
        <w:tc>
          <w:tcPr>
            <w:tcW w:type="dxa" w:w="1730"/>
            <w:shd w:fill="ECEFF1" w:color="auto" w:val="clear"/>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T3 — pure theorem</w:t>
            </w:r>
          </w:p>
        </w:tc>
        <w:tc>
          <w:tcPr>
            <w:tcW w:type="dxa" w:w="3800"/>
            <w:shd w:fill="ECEFF1" w:color="auto" w:val="clear"/>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No — the cleanest match, and fractal-neutral. Do not spend here</w:t>
            </w:r>
          </w:p>
        </w:tc>
      </w:tr>
      <w:tr>
        <w:tc>
          <w:tcPr>
            <w:tcW w:type="dxa" w:w="38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4</w:t>
            </w:r>
          </w:p>
        </w:tc>
        <w:tc>
          <w:tcPr>
            <w:tcW w:type="dxa" w:w="1550"/>
            <w:tcMar>
              <w:top w:type="dxa" w:w="70"/>
              <w:left w:type="dxa" w:w="90"/>
              <w:bottom w:type="dxa" w:w="70"/>
              <w:right w:type="dxa" w:w="90"/>
            </w:tcMar>
            <w:vAlign w:val="center"/>
          </w:tcPr>
          <w:p>
            <w:pPr>
              <w:spacing w:after="0" w:line="248"/>
            </w:pPr>
            <w:r>
              <w:rPr>
                <w:rFonts w:ascii="Calibri" w:cs="Calibri" w:eastAsia="Calibri" w:hAnsi="Calibri"/>
                <w:b/>
                <w:bCs/>
                <w:i w:val="false"/>
                <w:iCs w:val="false"/>
                <w:color w:val="1F2933"/>
                <w:sz w:val="18"/>
                <w:szCs w:val="18"/>
              </w:rPr>
              <w:t xml:space="preserve">Gating</w:t>
            </w:r>
          </w:p>
        </w:tc>
        <w:tc>
          <w:tcPr>
            <w:tcW w:type="dxa" w:w="190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threshold gate; flood/lock</w:t>
            </w:r>
          </w:p>
        </w:tc>
        <w:tc>
          <w:tcPr>
            <w:tcW w:type="dxa" w:w="1730"/>
            <w:shd w:fill="ECEFF1" w:color="auto" w:val="clear"/>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T3 (weak T2)</w:t>
            </w:r>
          </w:p>
        </w:tc>
        <w:tc>
          <w:tcPr>
            <w:tcW w:type="dxa" w:w="3800"/>
            <w:shd w:fill="ECEFF1" w:color="auto" w:val="clear"/>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No — thresholds set by market committees; shared value unlikely / convergent</w:t>
            </w:r>
          </w:p>
        </w:tc>
      </w:tr>
      <w:tr>
        <w:tc>
          <w:tcPr>
            <w:tcW w:type="dxa" w:w="38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5</w:t>
            </w:r>
          </w:p>
        </w:tc>
        <w:tc>
          <w:tcPr>
            <w:tcW w:type="dxa" w:w="1550"/>
            <w:tcMar>
              <w:top w:type="dxa" w:w="70"/>
              <w:left w:type="dxa" w:w="90"/>
              <w:bottom w:type="dxa" w:w="70"/>
              <w:right w:type="dxa" w:w="90"/>
            </w:tcMar>
            <w:vAlign w:val="center"/>
          </w:tcPr>
          <w:p>
            <w:pPr>
              <w:spacing w:after="0" w:line="248"/>
            </w:pPr>
            <w:r>
              <w:rPr>
                <w:rFonts w:ascii="Calibri" w:cs="Calibri" w:eastAsia="Calibri" w:hAnsi="Calibri"/>
                <w:b/>
                <w:bCs/>
                <w:i w:val="false"/>
                <w:iCs w:val="false"/>
                <w:color w:val="1F2933"/>
                <w:sz w:val="18"/>
                <w:szCs w:val="18"/>
              </w:rPr>
              <w:t xml:space="preserve">Switching</w:t>
            </w:r>
          </w:p>
        </w:tc>
        <w:tc>
          <w:tcPr>
            <w:tcW w:type="dxa" w:w="190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explore/exploit frontier</w:t>
            </w:r>
          </w:p>
        </w:tc>
        <w:tc>
          <w:tcPr>
            <w:tcW w:type="dxa" w:w="1730"/>
            <w:shd w:fill="FFF2CC" w:color="auto" w:val="clear"/>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T3 / T2 on operating point</w:t>
            </w:r>
          </w:p>
        </w:tc>
        <w:tc>
          <w:tcPr>
            <w:tcW w:type="dxa" w:w="3800"/>
            <w:shd w:fill="FFF2CC" w:color="auto" w:val="clear"/>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Secondary — if stuck/thrash occur at human, not market-optimal, parameters</w:t>
            </w:r>
          </w:p>
        </w:tc>
      </w:tr>
      <w:tr>
        <w:tc>
          <w:tcPr>
            <w:tcW w:type="dxa" w:w="38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6</w:t>
            </w:r>
          </w:p>
        </w:tc>
        <w:tc>
          <w:tcPr>
            <w:tcW w:type="dxa" w:w="1550"/>
            <w:tcMar>
              <w:top w:type="dxa" w:w="70"/>
              <w:left w:type="dxa" w:w="90"/>
              <w:bottom w:type="dxa" w:w="70"/>
              <w:right w:type="dxa" w:w="90"/>
            </w:tcMar>
            <w:vAlign w:val="center"/>
          </w:tcPr>
          <w:p>
            <w:pPr>
              <w:spacing w:after="0" w:line="248"/>
            </w:pPr>
            <w:r>
              <w:rPr>
                <w:rFonts w:ascii="Calibri" w:cs="Calibri" w:eastAsia="Calibri" w:hAnsi="Calibri"/>
                <w:b/>
                <w:bCs/>
                <w:i w:val="false"/>
                <w:iCs w:val="false"/>
                <w:color w:val="1F2933"/>
                <w:sz w:val="18"/>
                <w:szCs w:val="18"/>
              </w:rPr>
              <w:t xml:space="preserve">Prediction-error</w:t>
            </w:r>
          </w:p>
        </w:tc>
        <w:tc>
          <w:tcPr>
            <w:tcW w:type="dxa" w:w="190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optimal precision = inverse-variance (Bayes)</w:t>
            </w:r>
          </w:p>
        </w:tc>
        <w:tc>
          <w:tcPr>
            <w:tcW w:type="dxa" w:w="1730"/>
            <w:shd w:fill="D9EAD3" w:color="auto" w:val="clear"/>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T2-candidate (on deviation)</w:t>
            </w:r>
          </w:p>
        </w:tc>
        <w:tc>
          <w:tcPr>
            <w:tcW w:type="dxa" w:w="3800"/>
            <w:shd w:fill="D9EAD3" w:color="auto" w:val="clear"/>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YES — shared departure from Bayesian optimality; learning rate directly observable</w:t>
            </w:r>
          </w:p>
        </w:tc>
      </w:tr>
      <w:tr>
        <w:tc>
          <w:tcPr>
            <w:tcW w:type="dxa" w:w="38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7</w:t>
            </w:r>
          </w:p>
        </w:tc>
        <w:tc>
          <w:tcPr>
            <w:tcW w:type="dxa" w:w="1550"/>
            <w:tcMar>
              <w:top w:type="dxa" w:w="70"/>
              <w:left w:type="dxa" w:w="90"/>
              <w:bottom w:type="dxa" w:w="70"/>
              <w:right w:type="dxa" w:w="90"/>
            </w:tcMar>
            <w:vAlign w:val="center"/>
          </w:tcPr>
          <w:p>
            <w:pPr>
              <w:spacing w:after="0" w:line="248"/>
            </w:pPr>
            <w:r>
              <w:rPr>
                <w:rFonts w:ascii="Calibri" w:cs="Calibri" w:eastAsia="Calibri" w:hAnsi="Calibri"/>
                <w:b/>
                <w:bCs/>
                <w:i w:val="false"/>
                <w:iCs w:val="false"/>
                <w:color w:val="1F2933"/>
                <w:sz w:val="18"/>
                <w:szCs w:val="18"/>
              </w:rPr>
              <w:t xml:space="preserve">Sustained/phasic threat</w:t>
            </w:r>
          </w:p>
        </w:tc>
        <w:tc>
          <w:tcPr>
            <w:tcW w:type="dxa" w:w="190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two-timescale monitoring</w:t>
            </w:r>
          </w:p>
        </w:tc>
        <w:tc>
          <w:tcPr>
            <w:tcW w:type="dxa" w:w="1730"/>
            <w:shd w:fill="ECEFF1" w:color="auto" w:val="clear"/>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T3-ish (weak T2)</w:t>
            </w:r>
          </w:p>
        </w:tc>
        <w:tc>
          <w:tcPr>
            <w:tcW w:type="dxa" w:w="3800"/>
            <w:shd w:fill="ECEFF1" w:color="auto" w:val="clear"/>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No / weak — diffuse; substrate only PROBABLE</w:t>
            </w:r>
          </w:p>
        </w:tc>
      </w:tr>
      <w:tr>
        <w:tc>
          <w:tcPr>
            <w:tcW w:type="dxa" w:w="38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8</w:t>
            </w:r>
          </w:p>
        </w:tc>
        <w:tc>
          <w:tcPr>
            <w:tcW w:type="dxa" w:w="1550"/>
            <w:tcMar>
              <w:top w:type="dxa" w:w="70"/>
              <w:left w:type="dxa" w:w="90"/>
              <w:bottom w:type="dxa" w:w="70"/>
              <w:right w:type="dxa" w:w="90"/>
            </w:tcMar>
            <w:vAlign w:val="center"/>
          </w:tcPr>
          <w:p>
            <w:pPr>
              <w:spacing w:after="0" w:line="248"/>
            </w:pPr>
            <w:r>
              <w:rPr>
                <w:rFonts w:ascii="Calibri" w:cs="Calibri" w:eastAsia="Calibri" w:hAnsi="Calibri"/>
                <w:b/>
                <w:bCs/>
                <w:i w:val="false"/>
                <w:iCs w:val="false"/>
                <w:color w:val="1F2933"/>
                <w:sz w:val="18"/>
                <w:szCs w:val="18"/>
              </w:rPr>
              <w:t xml:space="preserve">Anti-reward brake</w:t>
            </w:r>
          </w:p>
        </w:tc>
        <w:tc>
          <w:tcPr>
            <w:tcW w:type="dxa" w:w="190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loss-cutting stop rule</w:t>
            </w:r>
          </w:p>
        </w:tc>
        <w:tc>
          <w:tcPr>
            <w:tcW w:type="dxa" w:w="1730"/>
            <w:shd w:fill="D9EAD3" w:color="auto" w:val="clear"/>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T2-candidate (sunk-cost)</w:t>
            </w:r>
          </w:p>
        </w:tc>
        <w:tc>
          <w:tcPr>
            <w:tcW w:type="dxa" w:w="3800"/>
            <w:shd w:fill="D9EAD3" w:color="auto" w:val="clear"/>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YES — sunk-cost escalation is a costly human signature; London Whale / Amaranth reproduce it</w:t>
            </w:r>
          </w:p>
        </w:tc>
      </w:tr>
      <w:tr>
        <w:tc>
          <w:tcPr>
            <w:tcW w:type="dxa" w:w="38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9</w:t>
            </w:r>
          </w:p>
        </w:tc>
        <w:tc>
          <w:tcPr>
            <w:tcW w:type="dxa" w:w="1550"/>
            <w:tcMar>
              <w:top w:type="dxa" w:w="70"/>
              <w:left w:type="dxa" w:w="90"/>
              <w:bottom w:type="dxa" w:w="70"/>
              <w:right w:type="dxa" w:w="90"/>
            </w:tcMar>
            <w:vAlign w:val="center"/>
          </w:tcPr>
          <w:p>
            <w:pPr>
              <w:spacing w:after="0" w:line="248"/>
            </w:pPr>
            <w:r>
              <w:rPr>
                <w:rFonts w:ascii="Calibri" w:cs="Calibri" w:eastAsia="Calibri" w:hAnsi="Calibri"/>
                <w:b/>
                <w:bCs/>
                <w:i w:val="false"/>
                <w:iCs w:val="false"/>
                <w:color w:val="1F2933"/>
                <w:sz w:val="18"/>
                <w:szCs w:val="18"/>
              </w:rPr>
              <w:t xml:space="preserve">E/I balance</w:t>
            </w:r>
          </w:p>
        </w:tc>
        <w:tc>
          <w:tcPr>
            <w:tcW w:type="dxa" w:w="190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bounded self-inhibition</w:t>
            </w:r>
          </w:p>
        </w:tc>
        <w:tc>
          <w:tcPr>
            <w:tcW w:type="dxa" w:w="1730"/>
            <w:shd w:fill="ECEFF1" w:color="auto" w:val="clear"/>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T3 — generic</w:t>
            </w:r>
          </w:p>
        </w:tc>
        <w:tc>
          <w:tcPr>
            <w:tcW w:type="dxa" w:w="3800"/>
            <w:shd w:fill="ECEFF1" w:color="auto" w:val="clear"/>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No — a modeling constraint, not a fractal claim</w:t>
            </w:r>
          </w:p>
        </w:tc>
      </w:tr>
      <w:tr>
        <w:tc>
          <w:tcPr>
            <w:tcW w:type="dxa" w:w="38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10</w:t>
            </w:r>
          </w:p>
        </w:tc>
        <w:tc>
          <w:tcPr>
            <w:tcW w:type="dxa" w:w="1550"/>
            <w:tcMar>
              <w:top w:type="dxa" w:w="70"/>
              <w:left w:type="dxa" w:w="90"/>
              <w:bottom w:type="dxa" w:w="70"/>
              <w:right w:type="dxa" w:w="90"/>
            </w:tcMar>
            <w:vAlign w:val="center"/>
          </w:tcPr>
          <w:p>
            <w:pPr>
              <w:spacing w:after="0" w:line="248"/>
            </w:pPr>
            <w:r>
              <w:rPr>
                <w:rFonts w:ascii="Calibri" w:cs="Calibri" w:eastAsia="Calibri" w:hAnsi="Calibri"/>
                <w:b/>
                <w:bCs/>
                <w:i w:val="false"/>
                <w:iCs w:val="false"/>
                <w:color w:val="1F2933"/>
                <w:sz w:val="18"/>
                <w:szCs w:val="18"/>
              </w:rPr>
              <w:t xml:space="preserve">Interoception</w:t>
            </w:r>
          </w:p>
        </w:tc>
        <w:tc>
          <w:tcPr>
            <w:tcW w:type="dxa" w:w="190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self-state estimation</w:t>
            </w:r>
          </w:p>
        </w:tc>
        <w:tc>
          <w:tcPr>
            <w:tcW w:type="dxa" w:w="1730"/>
            <w:shd w:fill="ECEFF1" w:color="auto" w:val="clear"/>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T3 (weak T2)</w:t>
            </w:r>
          </w:p>
        </w:tc>
        <w:tc>
          <w:tcPr>
            <w:tcW w:type="dxa" w:w="3800"/>
            <w:shd w:fill="ECEFF1" w:color="auto" w:val="clear"/>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No / weak — diffuse</w:t>
            </w:r>
          </w:p>
        </w:tc>
      </w:tr>
      <w:tr>
        <w:tc>
          <w:tcPr>
            <w:tcW w:type="dxa" w:w="38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11</w:t>
            </w:r>
          </w:p>
        </w:tc>
        <w:tc>
          <w:tcPr>
            <w:tcW w:type="dxa" w:w="1550"/>
            <w:tcMar>
              <w:top w:type="dxa" w:w="70"/>
              <w:left w:type="dxa" w:w="90"/>
              <w:bottom w:type="dxa" w:w="70"/>
              <w:right w:type="dxa" w:w="90"/>
            </w:tcMar>
            <w:vAlign w:val="center"/>
          </w:tcPr>
          <w:p>
            <w:pPr>
              <w:spacing w:after="0" w:line="248"/>
            </w:pPr>
            <w:r>
              <w:rPr>
                <w:rFonts w:ascii="Calibri" w:cs="Calibri" w:eastAsia="Calibri" w:hAnsi="Calibri"/>
                <w:b/>
                <w:bCs/>
                <w:i w:val="false"/>
                <w:iCs w:val="false"/>
                <w:color w:val="1F2933"/>
                <w:sz w:val="18"/>
                <w:szCs w:val="18"/>
              </w:rPr>
              <w:t xml:space="preserve">Reward drive</w:t>
            </w:r>
          </w:p>
        </w:tc>
        <w:tc>
          <w:tcPr>
            <w:tcW w:type="dxa" w:w="190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value-weighted allocation</w:t>
            </w:r>
          </w:p>
        </w:tc>
        <w:tc>
          <w:tcPr>
            <w:tcW w:type="dxa" w:w="1730"/>
            <w:shd w:fill="D9EAD3" w:color="auto" w:val="clear"/>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T2-candidate (wanting/liking)</w:t>
            </w:r>
          </w:p>
        </w:tc>
        <w:tc>
          <w:tcPr>
            <w:tcW w:type="dxa" w:w="3800"/>
            <w:shd w:fill="D9EAD3" w:color="auto" w:val="clear"/>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YES — wanting decoupled from value is a costly human dissociation; Wells Fargo reproduces it exactly</w:t>
            </w:r>
          </w:p>
        </w:tc>
      </w:tr>
      <w:tr>
        <w:tc>
          <w:tcPr>
            <w:tcW w:type="dxa" w:w="38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12</w:t>
            </w:r>
          </w:p>
        </w:tc>
        <w:tc>
          <w:tcPr>
            <w:tcW w:type="dxa" w:w="1550"/>
            <w:tcMar>
              <w:top w:type="dxa" w:w="70"/>
              <w:left w:type="dxa" w:w="90"/>
              <w:bottom w:type="dxa" w:w="70"/>
              <w:right w:type="dxa" w:w="90"/>
            </w:tcMar>
            <w:vAlign w:val="center"/>
          </w:tcPr>
          <w:p>
            <w:pPr>
              <w:spacing w:after="0" w:line="248"/>
            </w:pPr>
            <w:r>
              <w:rPr>
                <w:rFonts w:ascii="Calibri" w:cs="Calibri" w:eastAsia="Calibri" w:hAnsi="Calibri"/>
                <w:b/>
                <w:bCs/>
                <w:i w:val="false"/>
                <w:iCs w:val="false"/>
                <w:color w:val="1F2933"/>
                <w:sz w:val="18"/>
                <w:szCs w:val="18"/>
              </w:rPr>
              <w:t xml:space="preserve">Rhythm</w:t>
            </w:r>
          </w:p>
        </w:tc>
        <w:tc>
          <w:tcPr>
            <w:tcW w:type="dxa" w:w="1900"/>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Kuramoto entrainment</w:t>
            </w:r>
          </w:p>
        </w:tc>
        <w:tc>
          <w:tcPr>
            <w:tcW w:type="dxa" w:w="1730"/>
            <w:shd w:fill="ECEFF1" w:color="auto" w:val="clear"/>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T3 — pure</w:t>
            </w:r>
          </w:p>
        </w:tc>
        <w:tc>
          <w:tcPr>
            <w:tcW w:type="dxa" w:w="3800"/>
            <w:shd w:fill="ECEFF1" w:color="auto" w:val="clear"/>
            <w:tcMar>
              <w:top w:type="dxa" w:w="70"/>
              <w:left w:type="dxa" w:w="90"/>
              <w:bottom w:type="dxa" w:w="70"/>
              <w:right w:type="dxa" w:w="90"/>
            </w:tcMar>
            <w:vAlign w:val="center"/>
          </w:tcPr>
          <w:p>
            <w:pPr>
              <w:spacing w:after="0" w:line="248"/>
            </w:pPr>
            <w:r>
              <w:rPr>
                <w:rFonts w:ascii="Calibri" w:cs="Calibri" w:eastAsia="Calibri" w:hAnsi="Calibri"/>
                <w:b w:val="false"/>
                <w:bCs w:val="false"/>
                <w:i w:val="false"/>
                <w:iCs w:val="false"/>
                <w:color w:val="1F2933"/>
                <w:sz w:val="18"/>
                <w:szCs w:val="18"/>
              </w:rPr>
              <w:t xml:space="preserve">No — quarterly cadence is not circadian</w:t>
            </w:r>
          </w:p>
        </w:tc>
      </w:tr>
    </w:tbl>
    <w:p>
      <w:pPr>
        <w:spacing w:after="120" w:before="60" w:line="264"/>
      </w:pPr>
      <w:r>
        <w:rPr>
          <w:rFonts w:ascii="Calibri" w:cs="Calibri" w:eastAsia="Calibri" w:hAnsi="Calibri"/>
          <w:b/>
          <w:bCs/>
          <w:i w:val="false"/>
          <w:iCs w:val="false"/>
          <w:color w:val="1F2933"/>
          <w:sz w:val="22"/>
          <w:szCs w:val="22"/>
        </w:rPr>
        <w:t xml:space="preserve">The finding, in one line: </w:t>
      </w:r>
      <w:r>
        <w:rPr>
          <w:rFonts w:ascii="Calibri" w:cs="Calibri" w:eastAsia="Calibri" w:hAnsi="Calibri"/>
          <w:b w:val="false"/>
          <w:bCs w:val="false"/>
          <w:i w:val="false"/>
          <w:iCs w:val="false"/>
          <w:color w:val="1F2933"/>
          <w:sz w:val="22"/>
          <w:szCs w:val="22"/>
        </w:rPr>
        <w:t xml:space="preserve">the three fractal-bearing motifs are exactly the ones where the shared feature is a human </w:t>
      </w:r>
      <w:r>
        <w:rPr>
          <w:rFonts w:ascii="Calibri" w:cs="Calibri" w:eastAsia="Calibri" w:hAnsi="Calibri"/>
          <w:b w:val="false"/>
          <w:bCs w:val="false"/>
          <w:i/>
          <w:iCs/>
          <w:color w:val="1F2933"/>
          <w:sz w:val="22"/>
          <w:szCs w:val="22"/>
        </w:rPr>
        <w:t xml:space="preserve">suboptimality</w:t>
      </w:r>
      <w:r>
        <w:rPr>
          <w:rFonts w:ascii="Calibri" w:cs="Calibri" w:eastAsia="Calibri" w:hAnsi="Calibri"/>
          <w:b w:val="false"/>
          <w:bCs w:val="false"/>
          <w:i w:val="false"/>
          <w:iCs w:val="false"/>
          <w:color w:val="1F2933"/>
          <w:sz w:val="22"/>
          <w:szCs w:val="22"/>
        </w:rPr>
        <w:t xml:space="preserve"> — M6 (departure from optimal precision), M8 (sunk-cost escalation), M11 (wanting/liking dissociation) — with M1 and M5 as secondary “shared operating-tempo” candidates. Everything else is T3-generic: real control-law universality, and fractal-neutral.</w:t>
      </w:r>
    </w:p>
    <w:p>
      <w:r>
        <w:br w:type="page"/>
      </w:r>
    </w:p>
    <w:p>
      <w:pPr>
        <w:pStyle w:val="Heading1"/>
        <w:spacing w:after="120" w:before="280"/>
      </w:pPr>
      <w:r>
        <w:rPr>
          <w:rFonts w:ascii="Calibri" w:cs="Calibri" w:eastAsia="Calibri" w:hAnsi="Calibri"/>
          <w:b/>
          <w:bCs/>
          <w:i w:val="false"/>
          <w:iCs w:val="false"/>
          <w:color w:val="1B4965"/>
          <w:sz w:val="30"/>
          <w:szCs w:val="30"/>
        </w:rPr>
        <w:t xml:space="preserve">Two consequences for Helix</w:t>
      </w:r>
    </w:p>
    <w:p>
      <w:pPr>
        <w:pStyle w:val="Heading2"/>
        <w:spacing w:after="90" w:before="220"/>
      </w:pPr>
      <w:r>
        <w:rPr>
          <w:rFonts w:ascii="Calibri" w:cs="Calibri" w:eastAsia="Calibri" w:hAnsi="Calibri"/>
          <w:b/>
          <w:bCs/>
          <w:i w:val="false"/>
          <w:iCs w:val="false"/>
          <w:color w:val="1F2933"/>
          <w:sz w:val="25"/>
          <w:szCs w:val="25"/>
        </w:rPr>
        <w:t xml:space="preserve">1.  Rating and fractal weight anti-correlate</w:t>
      </w:r>
    </w:p>
    <w:p>
      <w:pPr>
        <w:spacing w:after="120" w:before="0" w:line="264"/>
      </w:pPr>
      <w:r>
        <w:rPr>
          <w:rFonts w:ascii="Calibri" w:cs="Calibri" w:eastAsia="Calibri" w:hAnsi="Calibri"/>
          <w:b w:val="false"/>
          <w:bCs w:val="false"/>
          <w:i w:val="false"/>
          <w:iCs w:val="false"/>
          <w:color w:val="1F2933"/>
          <w:sz w:val="22"/>
          <w:szCs w:val="22"/>
        </w:rPr>
        <w:t xml:space="preserve">M3 — the motif the prospectus rated most cleanly KNOWN — is the </w:t>
      </w:r>
      <w:r>
        <w:rPr>
          <w:rFonts w:ascii="Calibri" w:cs="Calibri" w:eastAsia="Calibri" w:hAnsi="Calibri"/>
          <w:b w:val="false"/>
          <w:bCs w:val="false"/>
          <w:i/>
          <w:iCs/>
          <w:color w:val="1F2933"/>
          <w:sz w:val="22"/>
          <w:szCs w:val="22"/>
        </w:rPr>
        <w:t xml:space="preserve">worst</w:t>
      </w:r>
      <w:r>
        <w:rPr>
          <w:rFonts w:ascii="Calibri" w:cs="Calibri" w:eastAsia="Calibri" w:hAnsi="Calibri"/>
          <w:b w:val="false"/>
          <w:bCs w:val="false"/>
          <w:i w:val="false"/>
          <w:iCs w:val="false"/>
          <w:color w:val="1F2933"/>
          <w:sz w:val="22"/>
          <w:szCs w:val="22"/>
        </w:rPr>
        <w:t xml:space="preserve"> fractal bet, because its cleanliness </w:t>
      </w:r>
      <w:r>
        <w:rPr>
          <w:rFonts w:ascii="Calibri" w:cs="Calibri" w:eastAsia="Calibri" w:hAnsi="Calibri"/>
          <w:b w:val="false"/>
          <w:bCs w:val="false"/>
          <w:i/>
          <w:iCs/>
          <w:color w:val="1F2933"/>
          <w:sz w:val="22"/>
          <w:szCs w:val="22"/>
        </w:rPr>
        <w:t xml:space="preserve">is</w:t>
      </w:r>
      <w:r>
        <w:rPr>
          <w:rFonts w:ascii="Calibri" w:cs="Calibri" w:eastAsia="Calibri" w:hAnsi="Calibri"/>
          <w:b w:val="false"/>
          <w:bCs w:val="false"/>
          <w:i w:val="false"/>
          <w:iCs w:val="false"/>
          <w:color w:val="1F2933"/>
          <w:sz w:val="22"/>
          <w:szCs w:val="22"/>
        </w:rPr>
        <w:t xml:space="preserve"> its genericness: it is a theorem. Confirming that bullwhip and cortisol both obey Nyquist shows both are delayed feedback loops, which was never in doubt for any such loop and says nothing about neural→business homology. The tightest empirical matches carry the least doctrinal weight. Budget on fractal-relevance, not on match-cleanliness — and those point in opposite directions.</w:t>
      </w:r>
    </w:p>
    <w:p>
      <w:pPr>
        <w:pStyle w:val="Heading2"/>
        <w:spacing w:after="90" w:before="220"/>
      </w:pPr>
      <w:r>
        <w:rPr>
          <w:rFonts w:ascii="Calibri" w:cs="Calibri" w:eastAsia="Calibri" w:hAnsi="Calibri"/>
          <w:b/>
          <w:bCs/>
          <w:i w:val="false"/>
          <w:iCs w:val="false"/>
          <w:color w:val="1F2933"/>
          <w:sz w:val="25"/>
          <w:szCs w:val="25"/>
        </w:rPr>
        <w:t xml:space="preserve">2.  The discriminating experiment is subtractive: remove human discretion and watch</w:t>
      </w:r>
    </w:p>
    <w:p>
      <w:pPr>
        <w:spacing w:after="120" w:before="0" w:line="264"/>
      </w:pPr>
      <w:r>
        <w:rPr>
          <w:rFonts w:ascii="Calibri" w:cs="Calibri" w:eastAsia="Calibri" w:hAnsi="Calibri"/>
          <w:b w:val="false"/>
          <w:bCs w:val="false"/>
          <w:i w:val="false"/>
          <w:iCs w:val="false"/>
          <w:color w:val="1F2933"/>
          <w:sz w:val="22"/>
          <w:szCs w:val="22"/>
        </w:rPr>
        <w:t xml:space="preserve">If the T2 motifs are inheritance-through-designers, then the </w:t>
      </w:r>
      <w:r>
        <w:rPr>
          <w:rFonts w:ascii="Calibri" w:cs="Calibri" w:eastAsia="Calibri" w:hAnsi="Calibri"/>
          <w:b/>
          <w:bCs/>
          <w:i w:val="false"/>
          <w:iCs w:val="false"/>
          <w:color w:val="1F2933"/>
          <w:sz w:val="22"/>
          <w:szCs w:val="22"/>
        </w:rPr>
        <w:t xml:space="preserve">more real-time human discretion</w:t>
      </w:r>
      <w:r>
        <w:rPr>
          <w:rFonts w:ascii="Calibri" w:cs="Calibri" w:eastAsia="Calibri" w:hAnsi="Calibri"/>
          <w:b w:val="false"/>
          <w:bCs w:val="false"/>
          <w:i w:val="false"/>
          <w:iCs w:val="false"/>
          <w:color w:val="1F2933"/>
          <w:sz w:val="22"/>
          <w:szCs w:val="22"/>
        </w:rPr>
        <w:t xml:space="preserve"> sits in the loop, the </w:t>
      </w:r>
      <w:r>
        <w:rPr>
          <w:rFonts w:ascii="Calibri" w:cs="Calibri" w:eastAsia="Calibri" w:hAnsi="Calibri"/>
          <w:b w:val="false"/>
          <w:bCs w:val="false"/>
          <w:i/>
          <w:iCs/>
          <w:color w:val="1F2933"/>
          <w:sz w:val="22"/>
          <w:szCs w:val="22"/>
        </w:rPr>
        <w:t xml:space="preserve">stronger</w:t>
      </w:r>
      <w:r>
        <w:rPr>
          <w:rFonts w:ascii="Calibri" w:cs="Calibri" w:eastAsia="Calibri" w:hAnsi="Calibri"/>
          <w:b w:val="false"/>
          <w:bCs w:val="false"/>
          <w:i w:val="false"/>
          <w:iCs w:val="false"/>
          <w:color w:val="1F2933"/>
          <w:sz w:val="22"/>
          <w:szCs w:val="22"/>
        </w:rPr>
        <w:t xml:space="preserve"> the human bias should be. Concretely: compare human-discretion desks against rule-bound / algorithmic execution </w:t>
      </w:r>
      <w:r>
        <w:rPr>
          <w:rFonts w:ascii="Calibri" w:cs="Calibri" w:eastAsia="Calibri" w:hAnsi="Calibri"/>
          <w:b w:val="false"/>
          <w:bCs w:val="false"/>
          <w:i/>
          <w:iCs/>
          <w:color w:val="1F2933"/>
          <w:sz w:val="22"/>
          <w:szCs w:val="22"/>
        </w:rPr>
        <w:t xml:space="preserve">of the same strategy</w:t>
      </w:r>
      <w:r>
        <w:rPr>
          <w:rFonts w:ascii="Calibri" w:cs="Calibri" w:eastAsia="Calibri" w:hAnsi="Calibri"/>
          <w:b w:val="false"/>
          <w:bCs w:val="false"/>
          <w:i w:val="false"/>
          <w:iCs w:val="false"/>
          <w:color w:val="1F2933"/>
          <w:sz w:val="22"/>
          <w:szCs w:val="22"/>
        </w:rPr>
        <w:t xml:space="preserve">, controlling for everything else, and measure whether the signature fades:</w:t>
      </w:r>
    </w:p>
    <w:p>
      <w:pPr>
        <w:pStyle w:val="ListParagraph"/>
        <w:numPr>
          <w:ilvl w:val="0"/>
          <w:numId w:val="1"/>
        </w:numPr>
        <w:spacing w:after="80" w:line="264"/>
      </w:pPr>
      <w:r>
        <w:rPr>
          <w:rFonts w:ascii="Calibri" w:cs="Calibri" w:eastAsia="Calibri" w:hAnsi="Calibri"/>
          <w:b w:val="false"/>
          <w:bCs w:val="false"/>
          <w:i w:val="false"/>
          <w:iCs w:val="false"/>
          <w:color w:val="1F2933"/>
          <w:sz w:val="22"/>
          <w:szCs w:val="22"/>
        </w:rPr>
        <w:t xml:space="preserve">M8 — does sunk-cost escalation weaken as humans leave the decision point?</w:t>
      </w:r>
    </w:p>
    <w:p>
      <w:pPr>
        <w:pStyle w:val="ListParagraph"/>
        <w:numPr>
          <w:ilvl w:val="0"/>
          <w:numId w:val="1"/>
        </w:numPr>
        <w:spacing w:after="80" w:line="264"/>
      </w:pPr>
      <w:r>
        <w:rPr>
          <w:rFonts w:ascii="Calibri" w:cs="Calibri" w:eastAsia="Calibri" w:hAnsi="Calibri"/>
          <w:b w:val="false"/>
          <w:bCs w:val="false"/>
          <w:i w:val="false"/>
          <w:iCs w:val="false"/>
          <w:color w:val="1F2933"/>
          <w:sz w:val="22"/>
          <w:szCs w:val="22"/>
        </w:rPr>
        <w:t xml:space="preserve">M6 — does non-Bayesian belief-stickiness weaken?</w:t>
      </w:r>
    </w:p>
    <w:p>
      <w:pPr>
        <w:pStyle w:val="ListParagraph"/>
        <w:numPr>
          <w:ilvl w:val="0"/>
          <w:numId w:val="1"/>
        </w:numPr>
        <w:spacing w:after="80" w:line="264"/>
      </w:pPr>
      <w:r>
        <w:rPr>
          <w:rFonts w:ascii="Calibri" w:cs="Calibri" w:eastAsia="Calibri" w:hAnsi="Calibri"/>
          <w:b w:val="false"/>
          <w:bCs w:val="false"/>
          <w:i w:val="false"/>
          <w:iCs w:val="false"/>
          <w:color w:val="1F2933"/>
          <w:sz w:val="22"/>
          <w:szCs w:val="22"/>
        </w:rPr>
        <w:t xml:space="preserve">M11 — does wanting/liking decoupling (pursuit detached from value) weaken?</w:t>
      </w:r>
    </w:p>
    <w:p>
      <w:pPr>
        <w:spacing w:after="120" w:before="0" w:line="264"/>
      </w:pPr>
      <w:r>
        <w:rPr>
          <w:rFonts w:ascii="Calibri" w:cs="Calibri" w:eastAsia="Calibri" w:hAnsi="Calibri"/>
          <w:b w:val="false"/>
          <w:bCs w:val="false"/>
          <w:i w:val="false"/>
          <w:iCs w:val="false"/>
          <w:color w:val="1F2933"/>
          <w:sz w:val="22"/>
          <w:szCs w:val="22"/>
        </w:rPr>
        <w:t xml:space="preserve">If the bias fades as humans exit, the neural setpoint entered </w:t>
      </w:r>
      <w:r>
        <w:rPr>
          <w:rFonts w:ascii="Calibri" w:cs="Calibri" w:eastAsia="Calibri" w:hAnsi="Calibri"/>
          <w:b w:val="false"/>
          <w:bCs w:val="false"/>
          <w:i/>
          <w:iCs/>
          <w:color w:val="1F2933"/>
          <w:sz w:val="22"/>
          <w:szCs w:val="22"/>
        </w:rPr>
        <w:t xml:space="preserve">with</w:t>
      </w:r>
      <w:r>
        <w:rPr>
          <w:rFonts w:ascii="Calibri" w:cs="Calibri" w:eastAsia="Calibri" w:hAnsi="Calibri"/>
          <w:b w:val="false"/>
          <w:bCs w:val="false"/>
          <w:i w:val="false"/>
          <w:iCs w:val="false"/>
          <w:color w:val="1F2933"/>
          <w:sz w:val="22"/>
          <w:szCs w:val="22"/>
        </w:rPr>
        <w:t xml:space="preserve"> the humans — descent-through-designers made visible (evidence for T2). If it persists in fully rule-bound systems, it is convergent/structural and even the T2-candidates collapse to T3. One experiment discriminates the whole doctrine, and only the shared-suboptimality trio can run it.</w:t>
      </w:r>
    </w:p>
    <w:p>
      <w:pPr>
        <w:spacing w:after="120" w:before="0" w:line="264"/>
      </w:pPr>
      <w:r>
        <w:rPr>
          <w:rFonts w:ascii="Calibri" w:cs="Calibri" w:eastAsia="Calibri" w:hAnsi="Calibri"/>
          <w:b/>
          <w:bCs/>
          <w:i w:val="false"/>
          <w:iCs w:val="false"/>
          <w:color w:val="1F2933"/>
          <w:sz w:val="22"/>
          <w:szCs w:val="22"/>
        </w:rPr>
        <w:t xml:space="preserve">Caveat (do not skip): </w:t>
      </w:r>
      <w:r>
        <w:rPr>
          <w:rFonts w:ascii="Calibri" w:cs="Calibri" w:eastAsia="Calibri" w:hAnsi="Calibri"/>
          <w:b w:val="false"/>
          <w:bCs w:val="false"/>
          <w:i w:val="false"/>
          <w:iCs w:val="false"/>
          <w:color w:val="1F2933"/>
          <w:sz w:val="22"/>
          <w:szCs w:val="22"/>
        </w:rPr>
        <w:t xml:space="preserve">an algorithm written by a sunk-cost-prone human can inherit the bias at </w:t>
      </w:r>
      <w:r>
        <w:rPr>
          <w:rFonts w:ascii="Calibri" w:cs="Calibri" w:eastAsia="Calibri" w:hAnsi="Calibri"/>
          <w:b w:val="false"/>
          <w:bCs w:val="false"/>
          <w:i/>
          <w:iCs/>
          <w:color w:val="1F2933"/>
          <w:sz w:val="22"/>
          <w:szCs w:val="22"/>
        </w:rPr>
        <w:t xml:space="preserve">design</w:t>
      </w:r>
      <w:r>
        <w:rPr>
          <w:rFonts w:ascii="Calibri" w:cs="Calibri" w:eastAsia="Calibri" w:hAnsi="Calibri"/>
          <w:b w:val="false"/>
          <w:bCs w:val="false"/>
          <w:i w:val="false"/>
          <w:iCs w:val="false"/>
          <w:color w:val="1F2933"/>
          <w:sz w:val="22"/>
          <w:szCs w:val="22"/>
        </w:rPr>
        <w:t xml:space="preserve"> time, so the clean signal is the </w:t>
      </w:r>
      <w:r>
        <w:rPr>
          <w:rFonts w:ascii="Calibri" w:cs="Calibri" w:eastAsia="Calibri" w:hAnsi="Calibri"/>
          <w:b w:val="false"/>
          <w:bCs w:val="false"/>
          <w:i/>
          <w:iCs/>
          <w:color w:val="1F2933"/>
          <w:sz w:val="22"/>
          <w:szCs w:val="22"/>
        </w:rPr>
        <w:t xml:space="preserve">gradient</w:t>
      </w:r>
      <w:r>
        <w:rPr>
          <w:rFonts w:ascii="Calibri" w:cs="Calibri" w:eastAsia="Calibri" w:hAnsi="Calibri"/>
          <w:b w:val="false"/>
          <w:bCs w:val="false"/>
          <w:i w:val="false"/>
          <w:iCs w:val="false"/>
          <w:color w:val="1F2933"/>
          <w:sz w:val="22"/>
          <w:szCs w:val="22"/>
        </w:rPr>
        <w:t xml:space="preserve"> with real-time discretion, not a binary human-vs-machine contrast.</w:t>
      </w:r>
    </w:p>
    <w:p>
      <w:pPr>
        <w:pStyle w:val="Heading2"/>
        <w:spacing w:after="90" w:before="220"/>
      </w:pPr>
      <w:r>
        <w:rPr>
          <w:rFonts w:ascii="Calibri" w:cs="Calibri" w:eastAsia="Calibri" w:hAnsi="Calibri"/>
          <w:b/>
          <w:bCs/>
          <w:i w:val="false"/>
          <w:iCs w:val="false"/>
          <w:color w:val="1F2933"/>
          <w:sz w:val="25"/>
          <w:szCs w:val="25"/>
        </w:rPr>
        <w:t xml:space="preserve">This also closes catch #4a (the missing civilization tier)</w:t>
      </w:r>
    </w:p>
    <w:p>
      <w:pPr>
        <w:spacing w:after="120" w:before="0" w:line="264"/>
      </w:pPr>
      <w:r>
        <w:rPr>
          <w:rFonts w:ascii="Calibri" w:cs="Calibri" w:eastAsia="Calibri" w:hAnsi="Calibri"/>
          <w:b w:val="false"/>
          <w:bCs w:val="false"/>
          <w:i w:val="false"/>
          <w:iCs w:val="false"/>
          <w:color w:val="1F2933"/>
          <w:sz w:val="22"/>
          <w:szCs w:val="22"/>
        </w:rPr>
        <w:t xml:space="preserve">T3-generic motifs extend to the civilization scale trivially — of course a delayed feedback loop obeys Nyquist at civ scale; that is arithmetic, not three-scale self-similarity. Only the T2-candidates make a civ-scale test meaningful: finding the </w:t>
      </w:r>
      <w:r>
        <w:rPr>
          <w:rFonts w:ascii="Calibri" w:cs="Calibri" w:eastAsia="Calibri" w:hAnsi="Calibri"/>
          <w:b w:val="false"/>
          <w:bCs w:val="false"/>
          <w:i/>
          <w:iCs/>
          <w:color w:val="1F2933"/>
          <w:sz w:val="22"/>
          <w:szCs w:val="22"/>
        </w:rPr>
        <w:t xml:space="preserve">human</w:t>
      </w:r>
      <w:r>
        <w:rPr>
          <w:rFonts w:ascii="Calibri" w:cs="Calibri" w:eastAsia="Calibri" w:hAnsi="Calibri"/>
          <w:b w:val="false"/>
          <w:bCs w:val="false"/>
          <w:i w:val="false"/>
          <w:iCs w:val="false"/>
          <w:color w:val="1F2933"/>
          <w:sz w:val="22"/>
          <w:szCs w:val="22"/>
        </w:rPr>
        <w:t xml:space="preserve"> setpoint (not merely </w:t>
      </w:r>
      <w:r>
        <w:rPr>
          <w:rFonts w:ascii="Calibri" w:cs="Calibri" w:eastAsia="Calibri" w:hAnsi="Calibri"/>
          <w:b w:val="false"/>
          <w:bCs w:val="false"/>
          <w:i/>
          <w:iCs/>
          <w:color w:val="1F2933"/>
          <w:sz w:val="22"/>
          <w:szCs w:val="22"/>
        </w:rPr>
        <w:t xml:space="preserve">a</w:t>
      </w:r>
      <w:r>
        <w:rPr>
          <w:rFonts w:ascii="Calibri" w:cs="Calibri" w:eastAsia="Calibri" w:hAnsi="Calibri"/>
          <w:b w:val="false"/>
          <w:bCs w:val="false"/>
          <w:i w:val="false"/>
          <w:iCs w:val="false"/>
          <w:color w:val="1F2933"/>
          <w:sz w:val="22"/>
          <w:szCs w:val="22"/>
        </w:rPr>
        <w:t xml:space="preserve"> stable one) recurring at civilization scale would be the actual fractal signature. So the three-scale program concentrates on the same three motifs. The triangle is only testable on M6 / M8 / M11.</w:t>
      </w:r>
    </w:p>
    <w:p>
      <w:pPr>
        <w:pStyle w:val="Heading1"/>
        <w:spacing w:after="120" w:before="280"/>
      </w:pPr>
      <w:r>
        <w:rPr>
          <w:rFonts w:ascii="Calibri" w:cs="Calibri" w:eastAsia="Calibri" w:hAnsi="Calibri"/>
          <w:b/>
          <w:bCs/>
          <w:i w:val="false"/>
          <w:iCs w:val="false"/>
          <w:color w:val="1B4965"/>
          <w:sz w:val="30"/>
          <w:szCs w:val="30"/>
        </w:rPr>
        <w:t xml:space="preserve">The doctrine update, stated plainly</w:t>
      </w:r>
    </w:p>
    <w:tbl>
      <w:tblPr>
        <w:tblW w:type="dxa" w:w="9360"/>
        <w:tblBorders>
          <w:top w:val="single" w:color="1B4965" w:sz="8"/>
          <w:left w:val="single" w:color="1B4965" w:sz="8"/>
          <w:bottom w:val="single" w:color="1B4965" w:sz="8"/>
          <w:right w:val="single" w:color="1B4965" w:sz="8"/>
          <w:insideH w:val="none"/>
          <w:insideV w:val="none"/>
        </w:tblBorders>
      </w:tblPr>
      <w:tblGrid>
        <w:gridCol w:w="9360"/>
      </w:tblGrid>
      <w:tr>
        <w:tc>
          <w:tcPr>
            <w:tcW w:type="dxa" w:w="9360"/>
            <w:shd w:fill="EEF3F7" w:color="auto" w:val="clear"/>
            <w:tcMar>
              <w:top w:type="dxa" w:w="140"/>
              <w:left w:type="dxa" w:w="170"/>
              <w:bottom w:type="dxa" w:w="140"/>
              <w:right w:type="dxa" w:w="170"/>
            </w:tcMar>
          </w:tcPr>
          <w:p>
            <w:pPr>
              <w:spacing w:after="80" w:before="0" w:line="264"/>
            </w:pPr>
            <w:r>
              <w:rPr>
                <w:rFonts w:ascii="Calibri" w:cs="Calibri" w:eastAsia="Calibri" w:hAnsi="Calibri"/>
                <w:b/>
                <w:bCs/>
                <w:i w:val="false"/>
                <w:iCs w:val="false"/>
                <w:color w:val="1F2933"/>
                <w:sz w:val="22"/>
                <w:szCs w:val="22"/>
              </w:rPr>
              <w:t xml:space="preserve">Adopt the prospectus. Retag the map by the fractal-weight column. Update Helix’s doctrine to:</w:t>
            </w:r>
          </w:p>
          <w:p>
            <w:pPr>
              <w:spacing w:after="40" w:before="0" w:line="264"/>
            </w:pPr>
            <w:r>
              <w:rPr>
                <w:rFonts w:ascii="Calibri" w:cs="Calibri" w:eastAsia="Calibri" w:hAnsi="Calibri"/>
                <w:b/>
                <w:bCs/>
                <w:i w:val="false"/>
                <w:iCs w:val="false"/>
                <w:color w:val="1B4965"/>
                <w:sz w:val="22"/>
                <w:szCs w:val="22"/>
              </w:rPr>
              <w:t xml:space="preserve">•  T2</w:t>
            </w:r>
            <w:r>
              <w:rPr>
                <w:rFonts w:ascii="Calibri" w:cs="Calibri" w:eastAsia="Calibri" w:hAnsi="Calibri"/>
                <w:b w:val="false"/>
                <w:bCs w:val="false"/>
                <w:i w:val="false"/>
                <w:iCs w:val="false"/>
                <w:color w:val="1F2933"/>
                <w:sz w:val="22"/>
                <w:szCs w:val="22"/>
              </w:rPr>
              <w:t xml:space="preserve">  where the suboptimality signature survives the subtraction test (candidates: M6, M8, M11);</w:t>
            </w:r>
          </w:p>
          <w:p>
            <w:pPr>
              <w:spacing w:after="40" w:before="0" w:line="264"/>
            </w:pPr>
            <w:r>
              <w:rPr>
                <w:rFonts w:ascii="Calibri" w:cs="Calibri" w:eastAsia="Calibri" w:hAnsi="Calibri"/>
                <w:b/>
                <w:bCs/>
                <w:i w:val="false"/>
                <w:iCs w:val="false"/>
                <w:color w:val="1B4965"/>
                <w:sz w:val="22"/>
                <w:szCs w:val="22"/>
              </w:rPr>
              <w:t xml:space="preserve">•  T3</w:t>
            </w:r>
            <w:r>
              <w:rPr>
                <w:rFonts w:ascii="Calibri" w:cs="Calibri" w:eastAsia="Calibri" w:hAnsi="Calibri"/>
                <w:b w:val="false"/>
                <w:bCs w:val="false"/>
                <w:i w:val="false"/>
                <w:iCs w:val="false"/>
                <w:color w:val="1F2933"/>
                <w:sz w:val="22"/>
                <w:szCs w:val="22"/>
              </w:rPr>
              <w:t xml:space="preserve">  everywhere else — real, publishable control-law universality, doctrine-neutral;</w:t>
            </w:r>
          </w:p>
          <w:p>
            <w:pPr>
              <w:spacing w:after="0" w:before="0" w:line="264"/>
            </w:pPr>
            <w:r>
              <w:rPr>
                <w:rFonts w:ascii="Calibri" w:cs="Calibri" w:eastAsia="Calibri" w:hAnsi="Calibri"/>
                <w:b/>
                <w:bCs/>
                <w:i w:val="false"/>
                <w:iCs w:val="false"/>
                <w:color w:val="1B4965"/>
                <w:sz w:val="22"/>
                <w:szCs w:val="22"/>
              </w:rPr>
              <w:t xml:space="preserve">•  T1</w:t>
            </w:r>
            <w:r>
              <w:rPr>
                <w:rFonts w:ascii="Calibri" w:cs="Calibri" w:eastAsia="Calibri" w:hAnsi="Calibri"/>
                <w:b w:val="false"/>
                <w:bCs w:val="false"/>
                <w:i w:val="false"/>
                <w:iCs w:val="false"/>
                <w:color w:val="1F2933"/>
                <w:sz w:val="22"/>
                <w:szCs w:val="22"/>
              </w:rPr>
              <w:t xml:space="preserve">  held as unproven, not read as confirmed by any result in these documents.</w:t>
            </w:r>
          </w:p>
        </w:tc>
      </w:tr>
    </w:tbl>
    <w:p>
      <w:pPr>
        <w:spacing w:after="120" w:before="0" w:line="264"/>
      </w:pPr>
      <w:r>
        <w:rPr>
          <w:rFonts w:ascii="Calibri" w:cs="Calibri" w:eastAsia="Calibri" w:hAnsi="Calibri"/>
          <w:b w:val="false"/>
          <w:bCs w:val="false"/>
          <w:i w:val="false"/>
          <w:iCs w:val="false"/>
          <w:color w:val="1F2933"/>
          <w:sz w:val="22"/>
          <w:szCs w:val="22"/>
        </w:rPr>
        <w:t xml:space="preserve">The map survives intact. The metaphysics takes one honest downgrade (T1 is not what is being validated) and gains one new, testable middle option (T2). Reading the doctrine as confirmed by a successful M3 or M1 would be the cathedral-from-scaffolding error firing in the direction easiest to miss — promotion from “control-law universality” to “fractal recursion confirmed.” Do not make that promotion.</w:t>
      </w:r>
    </w:p>
    <w:p>
      <w:pPr>
        <w:pStyle w:val="Heading1"/>
        <w:spacing w:after="120" w:before="280"/>
      </w:pPr>
      <w:r>
        <w:rPr>
          <w:rFonts w:ascii="Calibri" w:cs="Calibri" w:eastAsia="Calibri" w:hAnsi="Calibri"/>
          <w:b/>
          <w:bCs/>
          <w:i w:val="false"/>
          <w:iCs w:val="false"/>
          <w:color w:val="1B4965"/>
          <w:sz w:val="30"/>
          <w:szCs w:val="30"/>
        </w:rPr>
        <w:t xml:space="preserve">Spending recommendation</w:t>
      </w:r>
    </w:p>
    <w:p>
      <w:pPr>
        <w:spacing w:after="120" w:before="0" w:line="264"/>
      </w:pPr>
      <w:r>
        <w:rPr>
          <w:rFonts w:ascii="Calibri" w:cs="Calibri" w:eastAsia="Calibri" w:hAnsi="Calibri"/>
          <w:b/>
          <w:bCs/>
          <w:i w:val="false"/>
          <w:iCs w:val="false"/>
          <w:color w:val="1F2933"/>
          <w:sz w:val="22"/>
          <w:szCs w:val="22"/>
        </w:rPr>
        <w:t xml:space="preserve">If you care about the doctrine (T1/T2): </w:t>
      </w:r>
      <w:r>
        <w:rPr>
          <w:rFonts w:ascii="Calibri" w:cs="Calibri" w:eastAsia="Calibri" w:hAnsi="Calibri"/>
          <w:b w:val="false"/>
          <w:bCs w:val="false"/>
          <w:i w:val="false"/>
          <w:iCs w:val="false"/>
          <w:color w:val="1F2933"/>
          <w:sz w:val="22"/>
          <w:szCs w:val="22"/>
        </w:rPr>
        <w:t xml:space="preserve">the entire fractal budget goes to M6, M8, and M11, run through the subtractive human-discretion test, with a survivor cohort baked in. M8 is the place to start — it has the cleanest documented human signature (sunk-cost escalation; London Whale, Amaranth) and a live clinical hook (the lateral habenula).</w:t>
      </w:r>
    </w:p>
    <w:p>
      <w:pPr>
        <w:spacing w:after="120" w:before="0" w:line="264"/>
      </w:pPr>
      <w:r>
        <w:rPr>
          <w:rFonts w:ascii="Calibri" w:cs="Calibri" w:eastAsia="Calibri" w:hAnsi="Calibri"/>
          <w:b/>
          <w:bCs/>
          <w:i w:val="false"/>
          <w:iCs w:val="false"/>
          <w:color w:val="1F2933"/>
          <w:sz w:val="22"/>
          <w:szCs w:val="22"/>
        </w:rPr>
        <w:t xml:space="preserve">If you care about defensible cross-domain science (T3): </w:t>
      </w:r>
      <w:r>
        <w:rPr>
          <w:rFonts w:ascii="Calibri" w:cs="Calibri" w:eastAsia="Calibri" w:hAnsi="Calibri"/>
          <w:b w:val="false"/>
          <w:bCs w:val="false"/>
          <w:i w:val="false"/>
          <w:iCs w:val="false"/>
          <w:color w:val="1F2933"/>
          <w:sz w:val="22"/>
          <w:szCs w:val="22"/>
        </w:rPr>
        <w:t xml:space="preserve">confirm the generic motifs (M2–M4, M7, M9, M10, M12) as control-law universality. Useful and honest — but it validates “both are control systems,” not “the brain is scale zero.” Keep the two budgets, and the two claims, separate.</w:t>
      </w:r>
    </w:p>
    <w:p>
      <w:pPr>
        <w:pStyle w:val="Heading1"/>
        <w:spacing w:after="120" w:before="280"/>
      </w:pPr>
      <w:r>
        <w:rPr>
          <w:rFonts w:ascii="Calibri" w:cs="Calibri" w:eastAsia="Calibri" w:hAnsi="Calibri"/>
          <w:b/>
          <w:bCs/>
          <w:i w:val="false"/>
          <w:iCs w:val="false"/>
          <w:color w:val="1B4965"/>
          <w:sz w:val="30"/>
          <w:szCs w:val="30"/>
        </w:rPr>
        <w:t xml:space="preserve">What is not settled</w:t>
      </w:r>
    </w:p>
    <w:p>
      <w:pPr>
        <w:pStyle w:val="ListParagraph"/>
        <w:numPr>
          <w:ilvl w:val="0"/>
          <w:numId w:val="1"/>
        </w:numPr>
        <w:spacing w:after="80" w:line="264"/>
      </w:pPr>
      <w:r>
        <w:rPr>
          <w:rFonts w:ascii="Calibri" w:cs="Calibri" w:eastAsia="Calibri" w:hAnsi="Calibri"/>
          <w:b w:val="false"/>
          <w:bCs w:val="false"/>
          <w:i w:val="false"/>
          <w:iCs w:val="false"/>
          <w:color w:val="1F2933"/>
          <w:sz w:val="22"/>
          <w:szCs w:val="22"/>
        </w:rPr>
        <w:t xml:space="preserve">The commensurable-latency definition rests on the stop-signal race model applying to the institutional stop process. That is an assumption, not a result; the independence condition it requires must be tested on both sides before any ρ* claim.</w:t>
      </w:r>
    </w:p>
    <w:p>
      <w:pPr>
        <w:pStyle w:val="ListParagraph"/>
        <w:numPr>
          <w:ilvl w:val="0"/>
          <w:numId w:val="1"/>
        </w:numPr>
        <w:spacing w:after="80" w:line="264"/>
      </w:pPr>
      <w:r>
        <w:rPr>
          <w:rFonts w:ascii="Calibri" w:cs="Calibri" w:eastAsia="Calibri" w:hAnsi="Calibri"/>
          <w:b w:val="false"/>
          <w:bCs w:val="false"/>
          <w:i w:val="false"/>
          <w:iCs w:val="false"/>
          <w:color w:val="1F2933"/>
          <w:sz w:val="22"/>
          <w:szCs w:val="22"/>
        </w:rPr>
        <w:t xml:space="preserve">The neuroscience in Part A (race model, SSRT, hyperdirect stopping) and the setpoint claims in Part B are recalled from standard accounts, not re-verified against primary sources. That verification pass is the reader’s to run and should not be taken on this author’s authority.</w:t>
      </w:r>
    </w:p>
    <w:p>
      <w:pPr>
        <w:pStyle w:val="ListParagraph"/>
        <w:numPr>
          <w:ilvl w:val="0"/>
          <w:numId w:val="1"/>
        </w:numPr>
        <w:spacing w:after="80" w:line="264"/>
      </w:pPr>
      <w:r>
        <w:rPr>
          <w:rFonts w:ascii="Calibri" w:cs="Calibri" w:eastAsia="Calibri" w:hAnsi="Calibri"/>
          <w:b w:val="false"/>
          <w:bCs w:val="false"/>
          <w:i w:val="false"/>
          <w:iCs w:val="false"/>
          <w:color w:val="1F2933"/>
          <w:sz w:val="22"/>
          <w:szCs w:val="22"/>
        </w:rPr>
        <w:t xml:space="preserve">The T2/T3 assignment of M1 and M5 is provisional (“secondary”): both could collapse to T3 if their shared feature turns out to be the optimum rather than a human setpoint. The subtraction test decides.</w:t>
      </w:r>
    </w:p>
    <w:p>
      <w:pPr>
        <w:pStyle w:val="ListParagraph"/>
        <w:numPr>
          <w:ilvl w:val="0"/>
          <w:numId w:val="1"/>
        </w:numPr>
        <w:spacing w:after="80" w:line="264"/>
      </w:pPr>
      <w:r>
        <w:rPr>
          <w:rFonts w:ascii="Calibri" w:cs="Calibri" w:eastAsia="Calibri" w:hAnsi="Calibri"/>
          <w:b w:val="false"/>
          <w:bCs w:val="false"/>
          <w:i w:val="false"/>
          <w:iCs w:val="false"/>
          <w:color w:val="1F2933"/>
          <w:sz w:val="22"/>
          <w:szCs w:val="22"/>
        </w:rPr>
        <w:t xml:space="preserve">Business anchor cases (Archegos, London Whale, Wells Fargo, Knight, plus Goldman / Morgan Stanley as the survivor contrast) were verified against primary regulatory / investigative and contemporaneous press sources in the companion prospectus and are reused here unchanged.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Isomorphism, Continued — Prospectus Addendum</dc:title>
  <dc:creator>Strategy faculty</dc:creator>
  <cp:lastModifiedBy>Un-named</cp:lastModifiedBy>
  <cp:revision>1</cp:revision>
  <dcterms:created xsi:type="dcterms:W3CDTF">2026-07-09T22:42:51.515Z</dcterms:created>
  <dcterms:modified xsi:type="dcterms:W3CDTF">2026-07-09T22:42:51.529Z</dcterms:modified>
</cp:coreProperties>
</file>

<file path=docProps/custom.xml><?xml version="1.0" encoding="utf-8"?>
<Properties xmlns="http://schemas.openxmlformats.org/officeDocument/2006/custom-properties" xmlns:vt="http://schemas.openxmlformats.org/officeDocument/2006/docPropsVTypes"/>
</file>