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52606D"/>
          <w:sz w:val="20"/>
          <w:szCs w:val="20"/>
        </w:rPr>
        <w:t xml:space="preserve">RESEARCH PROSPECTUS</w:t>
      </w:r>
    </w:p>
    <w:p>
      <w:pPr>
        <w:spacing w:after="60"/>
      </w:pPr>
      <w:r>
        <w:rPr>
          <w:rFonts w:ascii="Calibri" w:cs="Calibri" w:eastAsia="Calibri" w:hAnsi="Calibri"/>
          <w:b/>
          <w:bCs/>
          <w:i w:val="false"/>
          <w:iCs w:val="false"/>
          <w:color w:val="1B4965"/>
          <w:sz w:val="40"/>
          <w:szCs w:val="40"/>
        </w:rPr>
        <w:t xml:space="preserve">Regulatory-Control Isomorphisms Between Neural and Business Systems</w:t>
      </w:r>
    </w:p>
    <w:p>
      <w:pPr>
        <w:spacing w:after="160"/>
      </w:pPr>
      <w:r>
        <w:rPr>
          <w:rFonts w:ascii="Calibri" w:cs="Calibri" w:eastAsia="Calibri" w:hAnsi="Calibri"/>
          <w:b w:val="false"/>
          <w:bCs w:val="false"/>
          <w:i/>
          <w:iCs/>
          <w:color w:val="52606D"/>
          <w:sz w:val="24"/>
          <w:szCs w:val="24"/>
        </w:rPr>
        <w:t xml:space="preserve">Where an instrumented, well-documented economy can serve as a testbed for control-system pathology</w:t>
      </w:r>
    </w:p>
    <w:p>
      <w:pPr>
        <w:pBdr>
          <w:bottom w:val="single" w:color="B7C0CC" w:sz="6" w:space="1"/>
        </w:pBdr>
        <w:spacing w:after="120" w:before="40"/>
      </w:pPr>
    </w:p>
    <w:p>
      <w:pPr>
        <w:spacing w:after="40" w:before="0" w:line="264"/>
      </w:pPr>
      <w:r>
        <w:rPr>
          <w:rFonts w:ascii="Calibri" w:cs="Calibri" w:eastAsia="Calibri" w:hAnsi="Calibri"/>
          <w:b/>
          <w:bCs/>
          <w:i w:val="false"/>
          <w:iCs w:val="false"/>
          <w:color w:val="1B4965"/>
          <w:sz w:val="22"/>
          <w:szCs w:val="22"/>
        </w:rPr>
        <w:t xml:space="preserve">Prepared for:  </w:t>
      </w:r>
      <w:r>
        <w:rPr>
          <w:rFonts w:ascii="Calibri" w:cs="Calibri" w:eastAsia="Calibri" w:hAnsi="Calibri"/>
          <w:b w:val="false"/>
          <w:bCs w:val="false"/>
          <w:i w:val="false"/>
          <w:iCs w:val="false"/>
          <w:color w:val="1F2933"/>
          <w:sz w:val="22"/>
          <w:szCs w:val="22"/>
        </w:rPr>
        <w:t xml:space="preserve">a neurology colleague seeking cross-domain research opportunities</w:t>
      </w:r>
    </w:p>
    <w:p>
      <w:pPr>
        <w:spacing w:after="40" w:before="0" w:line="264"/>
      </w:pPr>
      <w:r>
        <w:rPr>
          <w:rFonts w:ascii="Calibri" w:cs="Calibri" w:eastAsia="Calibri" w:hAnsi="Calibri"/>
          <w:b/>
          <w:bCs/>
          <w:i w:val="false"/>
          <w:iCs w:val="false"/>
          <w:color w:val="1B4965"/>
          <w:sz w:val="22"/>
          <w:szCs w:val="22"/>
        </w:rPr>
        <w:t xml:space="preserve">Prepared by:  </w:t>
      </w:r>
      <w:r>
        <w:rPr>
          <w:rFonts w:ascii="Calibri" w:cs="Calibri" w:eastAsia="Calibri" w:hAnsi="Calibri"/>
          <w:b w:val="false"/>
          <w:bCs w:val="false"/>
          <w:i w:val="false"/>
          <w:iCs w:val="false"/>
          <w:color w:val="1F2933"/>
          <w:sz w:val="22"/>
          <w:szCs w:val="22"/>
        </w:rPr>
        <w:t xml:space="preserve">[Strategy faculty] — organizational &amp; financial control structures</w:t>
      </w:r>
    </w:p>
    <w:p>
      <w:pPr>
        <w:spacing w:after="40" w:before="0" w:line="264"/>
      </w:pPr>
      <w:r>
        <w:rPr>
          <w:rFonts w:ascii="Calibri" w:cs="Calibri" w:eastAsia="Calibri" w:hAnsi="Calibri"/>
          <w:b/>
          <w:bCs/>
          <w:i w:val="false"/>
          <w:iCs w:val="false"/>
          <w:color w:val="1B4965"/>
          <w:sz w:val="22"/>
          <w:szCs w:val="22"/>
        </w:rPr>
        <w:t xml:space="preserve">Scope:  </w:t>
      </w:r>
      <w:r>
        <w:rPr>
          <w:rFonts w:ascii="Calibri" w:cs="Calibri" w:eastAsia="Calibri" w:hAnsi="Calibri"/>
          <w:b w:val="false"/>
          <w:bCs w:val="false"/>
          <w:i w:val="false"/>
          <w:iCs w:val="false"/>
          <w:color w:val="1F2933"/>
          <w:sz w:val="22"/>
          <w:szCs w:val="22"/>
        </w:rPr>
        <w:t xml:space="preserve">The empirical business layer of a brain→business regulatory mapping. Twelve control motifs, each rated for how well a real business system instantiates it, each paired with a concrete research handle.</w:t>
      </w:r>
    </w:p>
    <w:p>
      <w:pPr>
        <w:pBdr>
          <w:bottom w:val="single" w:color="B7C0CC" w:sz="6" w:space="1"/>
        </w:pBdr>
        <w:spacing w:after="120" w:before="40"/>
      </w:pPr>
    </w:p>
    <w:p>
      <w:pPr>
        <w:pStyle w:val="Heading1"/>
        <w:spacing w:after="120" w:before="280"/>
      </w:pPr>
      <w:r>
        <w:rPr>
          <w:rFonts w:ascii="Calibri" w:cs="Calibri" w:eastAsia="Calibri" w:hAnsi="Calibri"/>
          <w:b/>
          <w:bCs/>
          <w:i w:val="false"/>
          <w:iCs w:val="false"/>
          <w:color w:val="1B4965"/>
          <w:sz w:val="30"/>
          <w:szCs w:val="30"/>
        </w:rPr>
        <w:t xml:space="preserve">Cover note</w:t>
      </w:r>
    </w:p>
    <w:p>Colleague — you asked where a nervous system and a firm genuinely line up, and where that overlap is tight enough to do research on rather than merely admire. This document is my answer from the business side.</w:p>
    <w:p>Two things up front, because you would raise them within five minutes and I would rather raise them myself. First, I am not offering you a proof that the brain “built” business. The shared failure modes that make this mapping seductive are generic to all feedback control, so they cannot, by themselves, establish homology. Second — and this is the actual pitch — that limitation is exactly what makes business useful to you. A firm is an independently evolved instantiation of the same control primitives your regions implement, and it comes with telemetry, dated failure records, and sample sizes that a fear-conditioning paradigm cannot match. Treat the economy as a model system for control pathology, not as a metaphor, and there is real work here.</w:p>
    <w:p>I have rated every motif on a deliberately blunt scale and flagged the handful of places where the mapping is a category error, so you do not waste a sabbatical chasing them.</w:p>
    <w:p>
      <w:pPr>
        <w:pStyle w:val="Heading1"/>
        <w:spacing w:after="120" w:before="280"/>
      </w:pPr>
      <w:r>
        <w:rPr>
          <w:rFonts w:ascii="Calibri" w:cs="Calibri" w:eastAsia="Calibri" w:hAnsi="Calibri"/>
          <w:b/>
          <w:bCs/>
          <w:i w:val="false"/>
          <w:iCs w:val="false"/>
          <w:color w:val="1B4965"/>
          <w:sz w:val="30"/>
          <w:szCs w:val="30"/>
        </w:rPr>
        <w:t xml:space="preserve">1.  The premise, in your terms</w:t>
      </w:r>
    </w:p>
    <w:p>A nervous system and a firm are both feedback-regulated systems that succeed and fail in structurally similar ways. Both maintain set-points against disturbance, both broadcast gain signals, both gate throughput, both brake reactive subsystems with slower contextual ones, and both break in a small, characteristic set of ways when a loop is severed, over-tightened, delayed, or starved.</w:p>
    <w:p>
      <w:pPr>
        <w:spacing w:after="120" w:before="0" w:line="264"/>
      </w:pPr>
      <w:r>
        <w:rPr>
          <w:rFonts w:ascii="Calibri" w:cs="Calibri" w:eastAsia="Calibri" w:hAnsi="Calibri"/>
          <w:b w:val="false"/>
          <w:bCs w:val="false"/>
          <w:i w:val="false"/>
          <w:iCs w:val="false"/>
          <w:color w:val="1F2933"/>
          <w:sz w:val="22"/>
          <w:szCs w:val="22"/>
        </w:rPr>
        <w:t xml:space="preserve">The claim under test is </w:t>
      </w:r>
      <w:r>
        <w:rPr>
          <w:rFonts w:ascii="Calibri" w:cs="Calibri" w:eastAsia="Calibri" w:hAnsi="Calibri"/>
          <w:b w:val="false"/>
          <w:bCs w:val="false"/>
          <w:i/>
          <w:iCs/>
          <w:color w:val="1F2933"/>
          <w:sz w:val="22"/>
          <w:szCs w:val="22"/>
        </w:rPr>
        <w:t xml:space="preserve">isomorphism</w:t>
      </w:r>
      <w:r>
        <w:rPr>
          <w:rFonts w:ascii="Calibri" w:cs="Calibri" w:eastAsia="Calibri" w:hAnsi="Calibri"/>
          <w:b w:val="false"/>
          <w:bCs w:val="false"/>
          <w:i w:val="false"/>
          <w:iCs w:val="false"/>
          <w:color w:val="1F2933"/>
          <w:sz w:val="22"/>
          <w:szCs w:val="22"/>
        </w:rPr>
        <w:t xml:space="preserve">, not analogy. Isomorphism, in this project’s strict sense, means the same governing relationships — equations, thresholds, and time constants — hold across scales under parameter rescaling. “Both have a brake” is analogy. “Both brakes fail above the same dimensionless latency ratio” would be isomorphism. Everything below is graded against that harder bar, and most of it currently sits at the analogy line with a clear path to testing the harder claim.</w:t>
      </w:r>
    </w:p>
    <w:p>
      <w:pPr>
        <w:pStyle w:val="Heading1"/>
        <w:spacing w:after="120" w:before="280"/>
      </w:pPr>
      <w:r>
        <w:rPr>
          <w:rFonts w:ascii="Calibri" w:cs="Calibri" w:eastAsia="Calibri" w:hAnsi="Calibri"/>
          <w:b/>
          <w:bCs/>
          <w:i w:val="false"/>
          <w:iCs w:val="false"/>
          <w:color w:val="1B4965"/>
          <w:sz w:val="30"/>
          <w:szCs w:val="30"/>
        </w:rPr>
        <w:t xml:space="preserve">2.  Read this first — the honesty problem</w:t>
      </w:r>
    </w:p>
    <w:p>
      <w:pPr>
        <w:spacing w:after="120" w:before="0" w:line="264"/>
      </w:pPr>
      <w:r>
        <w:rPr>
          <w:rFonts w:ascii="Calibri" w:cs="Calibri" w:eastAsia="Calibri" w:hAnsi="Calibri"/>
          <w:b w:val="false"/>
          <w:bCs w:val="false"/>
          <w:i w:val="false"/>
          <w:iCs w:val="false"/>
          <w:color w:val="1F2933"/>
          <w:sz w:val="22"/>
          <w:szCs w:val="22"/>
        </w:rPr>
        <w:t xml:space="preserve">Control loops break in roughly four ways regardless of substrate: </w:t>
      </w:r>
      <w:r>
        <w:rPr>
          <w:rFonts w:ascii="Calibri" w:cs="Calibri" w:eastAsia="Calibri" w:hAnsi="Calibri"/>
          <w:b/>
          <w:bCs/>
          <w:i w:val="false"/>
          <w:iCs w:val="false"/>
          <w:color w:val="1F2933"/>
          <w:sz w:val="22"/>
          <w:szCs w:val="22"/>
        </w:rPr>
        <w:t xml:space="preserve">runaway</w:t>
      </w:r>
      <w:r>
        <w:rPr>
          <w:rFonts w:ascii="Calibri" w:cs="Calibri" w:eastAsia="Calibri" w:hAnsi="Calibri"/>
          <w:b w:val="false"/>
          <w:bCs w:val="false"/>
          <w:i w:val="false"/>
          <w:iCs w:val="false"/>
          <w:color w:val="1F2933"/>
          <w:sz w:val="22"/>
          <w:szCs w:val="22"/>
        </w:rPr>
        <w:t xml:space="preserve"> (feedback severed), </w:t>
      </w:r>
      <w:r>
        <w:rPr>
          <w:rFonts w:ascii="Calibri" w:cs="Calibri" w:eastAsia="Calibri" w:hAnsi="Calibri"/>
          <w:b/>
          <w:bCs/>
          <w:i w:val="false"/>
          <w:iCs w:val="false"/>
          <w:color w:val="1F2933"/>
          <w:sz w:val="22"/>
          <w:szCs w:val="22"/>
        </w:rPr>
        <w:t xml:space="preserve">lock-up</w:t>
      </w:r>
      <w:r>
        <w:rPr>
          <w:rFonts w:ascii="Calibri" w:cs="Calibri" w:eastAsia="Calibri" w:hAnsi="Calibri"/>
          <w:b w:val="false"/>
          <w:bCs w:val="false"/>
          <w:i w:val="false"/>
          <w:iCs w:val="false"/>
          <w:color w:val="1F2933"/>
          <w:sz w:val="22"/>
          <w:szCs w:val="22"/>
        </w:rPr>
        <w:t xml:space="preserve"> (gate stuck closed), </w:t>
      </w:r>
      <w:r>
        <w:rPr>
          <w:rFonts w:ascii="Calibri" w:cs="Calibri" w:eastAsia="Calibri" w:hAnsi="Calibri"/>
          <w:b/>
          <w:bCs/>
          <w:i w:val="false"/>
          <w:iCs w:val="false"/>
          <w:color w:val="1F2933"/>
          <w:sz w:val="22"/>
          <w:szCs w:val="22"/>
        </w:rPr>
        <w:t xml:space="preserve">oscillation</w:t>
      </w:r>
      <w:r>
        <w:rPr>
          <w:rFonts w:ascii="Calibri" w:cs="Calibri" w:eastAsia="Calibri" w:hAnsi="Calibri"/>
          <w:b w:val="false"/>
          <w:bCs w:val="false"/>
          <w:i w:val="false"/>
          <w:iCs w:val="false"/>
          <w:color w:val="1F2933"/>
          <w:sz w:val="22"/>
          <w:szCs w:val="22"/>
        </w:rPr>
        <w:t xml:space="preserve"> (delayed or over-aggressive feedback), and </w:t>
      </w:r>
      <w:r>
        <w:rPr>
          <w:rFonts w:ascii="Calibri" w:cs="Calibri" w:eastAsia="Calibri" w:hAnsi="Calibri"/>
          <w:b/>
          <w:bCs/>
          <w:i w:val="false"/>
          <w:iCs w:val="false"/>
          <w:color w:val="1F2933"/>
          <w:sz w:val="22"/>
          <w:szCs w:val="22"/>
        </w:rPr>
        <w:t xml:space="preserve">starvation</w:t>
      </w:r>
      <w:r>
        <w:rPr>
          <w:rFonts w:ascii="Calibri" w:cs="Calibri" w:eastAsia="Calibri" w:hAnsi="Calibri"/>
          <w:b w:val="false"/>
          <w:bCs w:val="false"/>
          <w:i w:val="false"/>
          <w:iCs w:val="false"/>
          <w:color w:val="1F2933"/>
          <w:sz w:val="22"/>
          <w:szCs w:val="22"/>
        </w:rPr>
        <w:t xml:space="preserve"> (drive withdrawn). A firm that fails the same way a neuron fails therefore confirms that the firm is a feedback control system with that loop topology. It does </w:t>
      </w:r>
      <w:r>
        <w:rPr>
          <w:rFonts w:ascii="Calibri" w:cs="Calibri" w:eastAsia="Calibri" w:hAnsi="Calibri"/>
          <w:b w:val="false"/>
          <w:bCs w:val="false"/>
          <w:i/>
          <w:iCs/>
          <w:color w:val="1F2933"/>
          <w:sz w:val="22"/>
          <w:szCs w:val="22"/>
        </w:rPr>
        <w:t xml:space="preserve">not</w:t>
      </w:r>
      <w:r>
        <w:rPr>
          <w:rFonts w:ascii="Calibri" w:cs="Calibri" w:eastAsia="Calibri" w:hAnsi="Calibri"/>
          <w:b w:val="false"/>
          <w:bCs w:val="false"/>
          <w:i w:val="false"/>
          <w:iCs w:val="false"/>
          <w:color w:val="1F2933"/>
          <w:sz w:val="22"/>
          <w:szCs w:val="22"/>
        </w:rPr>
        <w:t xml:space="preserve">, by itself, show that the business structure is derived from the brain.</w:t>
      </w:r>
    </w:p>
    <w:p>The productive reframe: stop hunting homology and start doing comparative control pathology. Two independently built instantiations of the same primitive let you ask which properties of a failure are substrate-independent (and therefore laws) versus substrate-specific (and therefore biology). Business is the instantiation with the better instruments. The win condition for the whole program is a shared dimensionless invariant; the failure-mode names are only where you start looking.</w:p>
    <w:p>
      <w:pPr>
        <w:pStyle w:val="Heading1"/>
        <w:spacing w:after="120" w:before="280"/>
      </w:pPr>
      <w:r>
        <w:rPr>
          <w:rFonts w:ascii="Calibri" w:cs="Calibri" w:eastAsia="Calibri" w:hAnsi="Calibri"/>
          <w:b/>
          <w:bCs/>
          <w:i w:val="false"/>
          <w:iCs w:val="false"/>
          <w:color w:val="1B4965"/>
          <w:sz w:val="30"/>
          <w:szCs w:val="30"/>
        </w:rPr>
        <w:t xml:space="preserve">3.  Why business is a useful research substrate</w:t>
      </w:r>
    </w:p>
    <w:p>The reason to bring an economist’s data to a neuroscience question is not novelty. It is measurement.</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Dense instrumentation. </w:t>
      </w:r>
      <w:r>
        <w:rPr>
          <w:rFonts w:ascii="Calibri" w:cs="Calibri" w:eastAsia="Calibri" w:hAnsi="Calibri"/>
          <w:b w:val="false"/>
          <w:bCs w:val="false"/>
          <w:i w:val="false"/>
          <w:iCs w:val="false"/>
          <w:color w:val="1F2933"/>
          <w:sz w:val="22"/>
          <w:szCs w:val="22"/>
        </w:rPr>
        <w:t xml:space="preserve">Every trade, approval, limit breach, and reorder is timestamped and logged. The control signal and the response are both recorded, which is rarely true in vivo.</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Dated “lesion” records. </w:t>
      </w:r>
      <w:r>
        <w:rPr>
          <w:rFonts w:ascii="Calibri" w:cs="Calibri" w:eastAsia="Calibri" w:hAnsi="Calibri"/>
          <w:b w:val="false"/>
          <w:bCs w:val="false"/>
          <w:i w:val="false"/>
          <w:iCs w:val="false"/>
          <w:color w:val="1F2933"/>
          <w:sz w:val="22"/>
          <w:szCs w:val="22"/>
        </w:rPr>
        <w:t xml:space="preserve">Regulatory orders, bankruptcy filings, and independent post-mortems (SEC settlements, Senate investigations, the Paul Weiss Archegos report) are effectively lesion studies with minute-by-minute documentation of what happened when a specific controller was removed or disabled.</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High N and natural variation. </w:t>
      </w:r>
      <w:r>
        <w:rPr>
          <w:rFonts w:ascii="Calibri" w:cs="Calibri" w:eastAsia="Calibri" w:hAnsi="Calibri"/>
          <w:b w:val="false"/>
          <w:bCs w:val="false"/>
          <w:i w:val="false"/>
          <w:iCs w:val="false"/>
          <w:color w:val="1F2933"/>
          <w:sz w:val="22"/>
          <w:szCs w:val="22"/>
        </w:rPr>
        <w:t xml:space="preserve">Thousands of firms run the same loop with different parameter settings, giving you cross-sectional variation you cannot get from a single organism.</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Readable parameters. </w:t>
      </w:r>
      <w:r>
        <w:rPr>
          <w:rFonts w:ascii="Calibri" w:cs="Calibri" w:eastAsia="Calibri" w:hAnsi="Calibri"/>
          <w:b w:val="false"/>
          <w:bCs w:val="false"/>
          <w:i w:val="false"/>
          <w:iCs w:val="false"/>
          <w:color w:val="1F2933"/>
          <w:sz w:val="22"/>
          <w:szCs w:val="22"/>
        </w:rPr>
        <w:t xml:space="preserve">The control constants — risk limits, hurdle rates, reorder points, learning rates in a forecasting model — are frequently written down explicitly. The free parameter is observable.</w:t>
      </w:r>
    </w:p>
    <w:p>
      <w:pPr>
        <w:pStyle w:val="ListParagraph"/>
        <w:numPr>
          <w:ilvl w:val="0"/>
          <w:numId w:val="1"/>
        </w:numPr>
        <w:spacing w:after="80" w:line="264"/>
      </w:pPr>
      <w:r>
        <w:rPr>
          <w:rFonts w:ascii="Calibri" w:cs="Calibri" w:eastAsia="Calibri" w:hAnsi="Calibri"/>
          <w:b/>
          <w:bCs/>
          <w:i w:val="false"/>
          <w:iCs w:val="false"/>
          <w:color w:val="1F2933"/>
          <w:sz w:val="22"/>
          <w:szCs w:val="22"/>
        </w:rPr>
        <w:t xml:space="preserve">Known interventions and outcomes. </w:t>
      </w:r>
      <w:r>
        <w:rPr>
          <w:rFonts w:ascii="Calibri" w:cs="Calibri" w:eastAsia="Calibri" w:hAnsi="Calibri"/>
          <w:b w:val="false"/>
          <w:bCs w:val="false"/>
          <w:i w:val="false"/>
          <w:iCs w:val="false"/>
          <w:color w:val="1F2933"/>
          <w:sz w:val="22"/>
          <w:szCs w:val="22"/>
        </w:rPr>
        <w:t xml:space="preserve">You can often see the counterfactual: the same week one bank’s brake fired and another’s was overridden, with the loss difference quantified.</w:t>
      </w:r>
    </w:p>
    <w:p>
      <w:pPr>
        <w:pStyle w:val="Heading1"/>
        <w:spacing w:after="120" w:before="280"/>
      </w:pPr>
      <w:r>
        <w:rPr>
          <w:rFonts w:ascii="Calibri" w:cs="Calibri" w:eastAsia="Calibri" w:hAnsi="Calibri"/>
          <w:b/>
          <w:bCs/>
          <w:i w:val="false"/>
          <w:iCs w:val="false"/>
          <w:color w:val="1B4965"/>
          <w:sz w:val="30"/>
          <w:szCs w:val="30"/>
        </w:rPr>
        <w:t xml:space="preserve">4.  The rating scale</w:t>
      </w:r>
    </w:p>
    <w:p>Ratings sit on the mapping, not on the firms. A rating answers: how firmly does a real business system instantiate this control structure and break its way?</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D9EAD3"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1F2933"/>
                <w:sz w:val="20"/>
                <w:szCs w:val="20"/>
              </w:rPr>
              <w:t xml:space="preserve">KNOWN</w:t>
            </w:r>
          </w:p>
        </w:tc>
        <w:tc>
          <w:tcPr>
            <w:tcW w:type="dxa" w:w="72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Established. A real firm instantiates the structure and is documented to fail the motif’s way, both poles where possible.</w:t>
            </w:r>
          </w:p>
        </w:tc>
      </w:tr>
      <w:tr>
        <w:tc>
          <w:tcPr>
            <w:tcW w:type="dxa" w:w="2100"/>
            <w:shd w:fill="CFE2F3"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1F2933"/>
                <w:sz w:val="20"/>
                <w:szCs w:val="20"/>
              </w:rPr>
              <w:t xml:space="preserve">PROBABLE</w:t>
            </w:r>
          </w:p>
        </w:tc>
        <w:tc>
          <w:tcPr>
            <w:tcW w:type="dxa" w:w="72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Structurally sound and likely; instantiation is clear but the failure is documented as a phenomenon rather than one clean, dated firm-level collapse.</w:t>
            </w:r>
          </w:p>
        </w:tc>
      </w:tr>
      <w:tr>
        <w:tc>
          <w:tcPr>
            <w:tcW w:type="dxa" w:w="2100"/>
            <w:shd w:fill="FFF2CC"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1F2933"/>
                <w:sz w:val="20"/>
                <w:szCs w:val="20"/>
              </w:rPr>
              <w:t xml:space="preserve">POSSIBLE</w:t>
            </w:r>
          </w:p>
        </w:tc>
        <w:tc>
          <w:tcPr>
            <w:tcW w:type="dxa" w:w="72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On the map on analogical grounds; worth listing so “probable” is not inflated to mean everything.</w:t>
            </w:r>
          </w:p>
        </w:tc>
      </w:tr>
      <w:tr>
        <w:tc>
          <w:tcPr>
            <w:tcW w:type="dxa" w:w="2100"/>
            <w:shd w:fill="F4CCCC"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1F2933"/>
                <w:sz w:val="20"/>
                <w:szCs w:val="20"/>
              </w:rPr>
              <w:t xml:space="preserve">KNOWN-IMPOSSIBLE</w:t>
            </w:r>
          </w:p>
        </w:tc>
        <w:tc>
          <w:tcPr>
            <w:tcW w:type="dxa" w:w="72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Ruled out on structure — a category error. The only legitimate “no.” Reserved for true structural no-gos, never for “I could not find a case.”</w:t>
            </w:r>
          </w:p>
        </w:tc>
      </w:tr>
    </w:tbl>
    <w:p>
      <w:r>
        <w:br w:type="page"/>
      </w:r>
    </w:p>
    <w:p>
      <w:pPr>
        <w:pStyle w:val="Heading1"/>
        <w:spacing w:after="120" w:before="280"/>
      </w:pPr>
      <w:r>
        <w:rPr>
          <w:rFonts w:ascii="Calibri" w:cs="Calibri" w:eastAsia="Calibri" w:hAnsi="Calibri"/>
          <w:b/>
          <w:bCs/>
          <w:i w:val="false"/>
          <w:iCs w:val="false"/>
          <w:color w:val="1B4965"/>
          <w:sz w:val="30"/>
          <w:szCs w:val="30"/>
        </w:rPr>
        <w:t xml:space="preserve">5.  Summary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900"/>
        <w:gridCol w:w="4760"/>
      </w:tblGrid>
      <w:tr>
        <w:trPr>
          <w:tblHeader/>
        </w:trPr>
        <w:tc>
          <w:tcPr>
            <w:tcW w:type="dxa" w:w="5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w:t>
            </w:r>
          </w:p>
        </w:tc>
        <w:tc>
          <w:tcPr>
            <w:tcW w:type="dxa" w:w="22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Motif</w:t>
            </w:r>
          </w:p>
        </w:tc>
        <w:tc>
          <w:tcPr>
            <w:tcW w:type="dxa" w:w="19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Rating</w:t>
            </w:r>
          </w:p>
        </w:tc>
        <w:tc>
          <w:tcPr>
            <w:tcW w:type="dxa" w:w="476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Lead research opportunity</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1</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Top-down inhibitory brake</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Latency-ratio failure test — does τ(brake)/τ(reactive) at collapse match extinction-failure? Archegos supplies the dated timeline.</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2</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Gain / broadcast modulation</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Adaptive-gain (inverted-U) curve at macro scale from rate-surprise vs. volatility panels; phasic vs. tonic mode structure.</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3</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Homeostatic negative feedback</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Delay-induced oscillation as a shared stability law; bullwhip is the clean testbed to export to neuroendocrine cycling.</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4</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Gating relay</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Published trip thresholds + a natural before/after (Flash Crash → LULD); lock-up vs. bradykinetic freeze.</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5</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Switching / reallocation</w:t>
            </w:r>
          </w:p>
        </w:tc>
        <w:tc>
          <w:tcPr>
            <w:tcW w:type="dxa" w:w="1900"/>
            <w:shd w:fill="CFE2F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PROBABLE</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Switch-cost vs. dwell-time frontier; aberrant-salience (significance to noise) as an organizational measure.</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6</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Prediction-error correction</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Precision-weighting with a directly readable learning rate; over-fit vs. over-reactive forecasting.</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7</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Sustained vs. phasic threat</w:t>
            </w:r>
          </w:p>
        </w:tc>
        <w:tc>
          <w:tcPr>
            <w:tcW w:type="dxa" w:w="1900"/>
            <w:shd w:fill="CFE2F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PROBABLE</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Allostatic load in an instrumented human system (security-ops telemetry: burnout vs. false-alarm spam).</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8</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Anti-reward brake</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Direct line to a live clinical target (lateral habenula); escalation-of-commitment as anti-reward-disabled data.</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9</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Local E/I balance</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Conceptual export: E/I is a parameter on an edge in both domains, never a node/firm. Modeling constraint.</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10</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Interoceptive aggregation</w:t>
            </w:r>
          </w:p>
        </w:tc>
        <w:tc>
          <w:tcPr>
            <w:tcW w:type="dxa" w:w="1900"/>
            <w:shd w:fill="CFE2F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PROBABLE</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Interoceptive accuracy at organizational scale; risk-aggregation failure = organizational alexithymia.</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11</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Reward / motivation drive</w:t>
            </w:r>
          </w:p>
        </w:tc>
        <w:tc>
          <w:tcPr>
            <w:tcW w:type="dxa" w:w="1900"/>
            <w:shd w:fill="D9EAD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KNOWN</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Wanting-vs-liking dissociation with tunable incentive parameters; Wells Fargo as incentive-salience over-drive.</w:t>
            </w:r>
          </w:p>
        </w:tc>
      </w:tr>
      <w:tr>
        <w:tc>
          <w:tcPr>
            <w:tcW w:type="dxa" w:w="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12</w:t>
            </w:r>
          </w:p>
        </w:tc>
        <w:tc>
          <w:tcPr>
            <w:tcW w:type="dxa" w:w="2200"/>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Rhythm / entrainment</w:t>
            </w:r>
          </w:p>
        </w:tc>
        <w:tc>
          <w:tcPr>
            <w:tcW w:type="dxa" w:w="1900"/>
            <w:shd w:fill="CFE2F3"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PROBABLE</w:t>
            </w:r>
          </w:p>
        </w:tc>
        <w:tc>
          <w:tcPr>
            <w:tcW w:type="dxa" w:w="47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Entrainment / desynchronization cost; over-rigid reporting rhythm (short-termism) as phase-locking pathology.</w:t>
            </w:r>
          </w:p>
        </w:tc>
      </w:tr>
    </w:tbl>
    <w:p>
      <w:pPr>
        <w:spacing w:after="120" w:before="60" w:line="264"/>
      </w:pPr>
      <w:r>
        <w:rPr>
          <w:rFonts w:ascii="Calibri" w:cs="Calibri" w:eastAsia="Calibri" w:hAnsi="Calibri"/>
          <w:b/>
          <w:bCs/>
          <w:i w:val="false"/>
          <w:iCs w:val="false"/>
          <w:color w:val="1F2933"/>
          <w:sz w:val="22"/>
          <w:szCs w:val="22"/>
        </w:rPr>
        <w:t xml:space="preserve">* </w:t>
      </w:r>
      <w:r>
        <w:rPr>
          <w:rFonts w:ascii="Calibri" w:cs="Calibri" w:eastAsia="Calibri" w:hAnsi="Calibri"/>
          <w:b w:val="false"/>
          <w:bCs w:val="false"/>
          <w:i/>
          <w:iCs/>
          <w:color w:val="52606D"/>
          <w:sz w:val="19"/>
          <w:szCs w:val="19"/>
        </w:rPr>
        <w:t xml:space="preserve">Motif 9 is KNOWN as a parameter and KNOWN-IMPOSSIBLE as a standalone firm — see §6 and §7.</w:t>
      </w:r>
    </w:p>
    <w:p>
      <w:r>
        <w:br w:type="page"/>
      </w:r>
    </w:p>
    <w:p>
      <w:pPr>
        <w:pStyle w:val="Heading1"/>
        <w:spacing w:after="120" w:before="280"/>
      </w:pPr>
      <w:r>
        <w:rPr>
          <w:rFonts w:ascii="Calibri" w:cs="Calibri" w:eastAsia="Calibri" w:hAnsi="Calibri"/>
          <w:b/>
          <w:bCs/>
          <w:i w:val="false"/>
          <w:iCs w:val="false"/>
          <w:color w:val="1B4965"/>
          <w:sz w:val="30"/>
          <w:szCs w:val="30"/>
        </w:rPr>
        <w:t xml:space="preserve">6.  The twelve motifs in detail</w:t>
      </w:r>
    </w:p>
    <w:p>
      <w:pPr>
        <w:pStyle w:val="Heading2"/>
        <w:spacing w:after="90" w:before="220"/>
      </w:pPr>
      <w:r>
        <w:rPr>
          <w:rFonts w:ascii="Calibri" w:cs="Calibri" w:eastAsia="Calibri" w:hAnsi="Calibri"/>
          <w:b/>
          <w:bCs/>
          <w:i w:val="false"/>
          <w:iCs w:val="false"/>
          <w:color w:val="1F2933"/>
          <w:sz w:val="25"/>
          <w:szCs w:val="25"/>
        </w:rPr>
        <w:t xml:space="preserve">M1.  Top-down inhibitory brake</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vmPFC → BLA/CeA (extinction); vlPFC → amygdala (reappraisal). A slower contextual node suppresses a faster reactive one.</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 higher control node inhibits a faster, reactive lower unit via a negative-sign, top-down edge.</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Second-line risk/compliance overriding a first-line trading or sales desk — specifically the slow deliberative override (risk committee, board risk policy, legal hold), not the fast automated pre-trade limit, which is really gating (Motif 4).</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Over-grip → the brake strangles the unit (wholesale de-risking; flatness). Brake-failure → the reactive unit runs unchecked (rogue desk, fraud).</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Barings (1995): no segregation of duties, so the brake and the reactive unit were the same person — the inhibitory node did not exist. Credit Suisse / Archegos (2021): the brake existed with full visibility but was overridden by the revenue side; risk wanted more margin and was blocked, and the loss reached ~$5.5B, while Goldman and Morgan Stanley — same motif, brake intact — exited early and limited losses. Boeing 737 MAX: the safety/certification brake weakened relative to schedule pressure.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(brake-failure pole); PROBABLE (over-grip pole)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flagship isomorphism test. Extinction has a characteristic latency; it fails (phobia/PTSD) when the slow contextual signal cannot outpace the fast reactive one. Archegos gives you a fully dated failure timeline (limit breaches accruing over weeks, escalation lagging, action only at forced liquidation). Define the dimensionless ratio τ(brake)/τ(reactive) — deliberative-override latency over reactive-unit response time — and test whether the critical ratio at failure onset is invariant across extinction-failure and risk-control-failure. Business supplies the timestamps a conditioning paradigm cannot. Worked further in §9.</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M2.  Gain / broadcast modulation</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LC → cortex (norepinephrine, arousal/precision); also raphe (5-HT), VTA (DA), NBM (ACh). One small node sets system-wide gain, one-to-many, multiplicative.</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 single node rescales the whole system’s behavior at once.</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A central-bank policy rate rescales the discount factor on every future cash flow in the economy simultaneously; intra-firm, a firm-wide hurdle rate or risk appetite rescales every project’s go/no-go.</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Gain stuck high → hypervigilance, everything reads as urgent, resources thrash. Gain stuck low → signals missed, sluggish response, complacency before a break.</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Volcker’s deliberate high-gain shock (1979–82) induced recession by design; “lower-for-longer” and the delayed “transitory” call are the low-gain pole (missed signal, asset inflation).</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(central bank); PROBABLE (intra-firm)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LC operates on an inverted-U adaptive-gain curve with distinct phasic and tonic modes. Monetary policy offers a large panel of rate-surprise magnitudes against market-volatility responses — an empirical dose–response for “gain” you can fit and compare directly to the LC gain–performance curve, and a way to test whether surprise moves (phasic) and forward guidance (tonic) reproduce the phasic/tonic mode dissociation.</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M3.  Homeostatic negative feedback</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HPA cortisol → HIPP/HYPO/PIT negative feedback; autoreceptors (D2, α2, 5-HT1A); baroreflex.</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Output feeds back to shut off its own trigger, usually with a lag.</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Inventory reorder loops, budget-to-actual variance correction, automatic fiscal stabilizers.</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Feedback severed → runaway (bubble, cost spiral). Feedback delayed or over-aggressive → oscillation.</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LTCM (1998): models assumed mean-reversion; when correlations went to 1 under the Russia default, leverage produced runaway loss instead of self-correction. The bullwhip effect (canonically P&amp;G) is the clean oscillation case — a small retail demand wobble amplifies into wild upstream swings because each tier’s correction lags and over-corrects.</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(low discrimination — near-universal)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Bullwhip has a quantified relationship between loop delay/gain and oscillation amplitude — it is literally a control-theory instability. Neuroendocrine feedback (cortisol rhythm) also oscillates when dysregulated. Hypothesis: both obey the same phase-margin / Nyquist stability criterion. Supply-chain data is the cleaner, higher-N testbed to pin the invariant, then look for it in cortisol-cycling data. This is a case where business is the better instrument, not the borrower.</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M4.  Gating relay (adjustable throughput)</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Thalamus (+TRN self-inhibition); basal-ganglia gate STRI → GP → THAL; superior colliculus.</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 hub passes or blocks signal based on system state.</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Market circuit breakers (market-wide halts, single-stock limit-up/limit-down bands); stage-gate capital release with go/no-go at each phase.</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Gate stuck open → flooding, no filtering. Gate stuck closed → starvation, bottleneck, freeze.</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The 2010 Flash Crash occurred before single-stock circuit breakers existed — the gate that should have interrupted the runaway was absent, and the LULD mechanism was built afterward. That is a failure that produced the gate: a natural before/after experiment. Frozen capital and project starvation are the stuck-closed pole.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(circuit breakers); PROBABLE→KNOWN (stage-gate)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Market gates have explicit, published trip thresholds and dwell rules — borrowable constants. Compare gate-trip event statistics and hysteresis to basal-ganglia gating thresholds, and study capital lock-up (starvation) dynamics against bradykinesia / Parkinsonian freeze as a shared “gate-stuck-closed” phenotype.</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M5.  Switching / resource reallocation</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Salience network (AI + dACC) switching DMN ↔ ECN.</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An arbiter above two mutually-exclusive, still-live modes reallocates control between them.</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A central capital-allocation arbiter that moves capital between mature cash-generators and new bets (Berkshire); an explore/exploit arbiter that keeps both a mature-business structure and new-venture structure live (Amazon).</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Stuck in one mode → cannot switch (rumination analog). Thrashing → switches too fast, no mode completes (aberrant-salience analog).</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Kodak (detected digital — invented the digital camera — but could not reallocate off film) and Intel (locked in x86/PC, missed mobile) are the stuck-mode cases, with the honest caveat that these look more like an absent arbiter than a malfunctioning one. Serial strategy-whiplash firms are the thrashing pole.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CFE2F3" w:color="auto" w:val="clear"/>
        </w:rPr>
        <w:t xml:space="preserve"> PROBABLE (positive cases); POSSIBLE (thrashing pole)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salience network has measurable switch latency and two failure signatures — stuck (rumination) and thrashing (psychosis-adjacent aberrant salience). Firms with genuine dual-mode arbiters have measurable mode-switch times and dwell. Test whether a shared switch-cost vs. dwell-time frontier governs both, and whether “aberrant salience” — significance assigned to noise — has a quantifiable organizational analog in firms that over-react to non-signals.</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M6.  Feedforward prediction + error correction</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Predictive coding (V1 feedback/feedforward); cerebellar climbing-fiber error.</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 model predicts; the mismatch (error) propagates and updates the model.</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Demand forecasting plus variance analysis — a short-cycle rapid-replenishment model that updates on point-of-sale error (Zara); systematic quant funds (model plus error-driven update).</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Priors too strong → ignores disconfirming data (confabulation). No stable model → over-reacts to every fluctuation (fragmentation, noise-chasing).</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Zara deliberately holds capacity back to respond to surprise rather than committing to a season’s prior. Target Canada is the priors-too-strong break (planned from a bad model state, ignored ground reality). The August 2007 “quant quake” is the no-stable-model pole — crowded models whipsawing as everyone de-levered into the same signals.</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Predictive coding is precision (inverse-variance) weighting of prediction error, and its pathology is mis-set precision (delusion/confabulation vs. fragmentation). Business forecasting sets an explicit, tunable learning rate — the precision parameter is in the config file. This is a rare case where the free parameter you infer indirectly in the brain is directly observable, letting you map the precision-pathology axis onto over-fit vs. over-reactive forecasting with real numbers.</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M7.  Sustained vs. phasic threat monitoring</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BNST (sustained anxiety) vs. CeA (phasic fear) — one channel, two timescales.</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Tonic (sustained, uncertain) vs. phasic (acute, specific) alarm.</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A security operations center / threat-intelligence function (tonic, sustained vigilance) and an incident-response function (phasic, acute) running off the same telemetry.</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Tonic stuck on → chronic alarm, burnout, resource drain. Phasic hair-trigger → overreaction to non-threats, false-alarm spam.</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Analyst burnout under permanent-crisis footing (tonic) and over-tuned alerting that pages on noise (phasic) are documented operational phenomena in security operations, though not as a single named firm’s collapse.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CFE2F3" w:color="auto" w:val="clear"/>
        </w:rPr>
        <w:t xml:space="preserve"> PROBABLE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BNST/CeA dissociation predicts exactly these two org failure signatures. Security-operations telemetry — alert volumes, dwell, analyst turnover — is a macro-scale, well-logged dataset for chronic-alarm cost: a human-organizational model of allostatic load with better instrumentation than most clinical cohorts.</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M8.  Anti-reward brake</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Lateral habenula → VTA / raphe inhibition (negative prediction, “anti-reward”).</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Inhibitory suppression of the reward/pursuit channel itself, on a negative signal.</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Stop-losses, drawdown limits, a strategy kill-switch, a committee that cuts a beloved-but-losing project (active product retirement, e.g. the well-known “Google graveyard”).</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Too strong → anhedonia, no risk appetite, nothing matures. Too weak → chases losses, sunk-cost escalation, cannot quit.</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JPMorgan London Whale (2012): the VaR brake was breached many times, then the brake itself was replaced with a more lenient model that halved apparent risk; traders used the new headroom to add, pushing the book toward ~$157B notional before a “phones-down” order, at a ~$6.2B loss. That is the anti-reward brake being actively disabled, producing textbook escalation. Amaranth (2006) is the same pole; Knight Capital (2012, ~$440M in ~45 minutes) is the absence version — no kill-switch fast enough to suppress a runaway.</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(too-weak pole); PROBABLE (over-braked pole)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lateral habenula is a live target in depression research (a focus of ketamine and deep-brain-stimulation work) precisely because it carries the negative-prediction / anti-reward signal. Business gives you documented both-pole failures with dated numbers: escalation-of-commitment (the signal failing to fire) and paralytic over-braking (a learned-helplessness analog). Escalation-of-commitment datasets could inform models of when the anti-reward signal fails and why disabling it produces runaway pursuit — a behaviorally rich complement to rodent habenula work, and the highest clinical-interest target in this document.</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M9.  Local E/I balance (unit self-regulation)</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GABAergic PV/SST interneuron feedback throughout cortex.</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Local feedback inhibition keeps a unit stable — this is the E/I parameter, not a node.</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How tightly any single unit self-limits from the inside — a team’s own QA, local budget discipline. Correctly modeled as a parameter on an edge, never as a standalone firm.</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Too little inhibition → the unit destabilizes (seizure-like runaway). Too much → the unit cannot act (over-control paralysis).</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Deliberately not firm-matched. Forcing a company into this slot repeats exactly the node/parameter confusion the neuroscience reference already quarantines.</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F4CCCC" w:color="auto" w:val="clear"/>
        </w:rPr>
        <w:t xml:space="preserve"> KNOWN as a parameter; KNOWN-IMPOSSIBLE as a firm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value is a conceptual export and a modeling constraint. E/I imbalance anchors epilepsy and autism models; the business mapping clarifies that E/I is a parameter on an edge in both domains, not a region or a firm. Any model — in either field — that promotes E/I to a node is mis-specified. Modest as an experiment, useful as a discipline.</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M10.  Interoceptive aggregation → salience</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NTS → PBN → insula; posterior → anterior insula (interoception).</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Afferent internal-state signals aggregate and get salience-weighted.</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Internal telemetry — KPI/ops-metric aggregation and the function that decides which internal signal is worth escalating; in finance, firm-wide risk aggregation.</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Poor interoception → the system cannot feel its own state (flying blind). Over-weighted → every internal fluctuation escalates.</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Pre-2008 institutions that could not aggregate their own subprime exposure across desks are the interoceptive-deficit pole (organizational alexithymia — the firm could not sense its own state until the loss surfaced). Over-alerting / metric obsession is the opposite pole.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CFE2F3" w:color="auto" w:val="clear"/>
        </w:rPr>
        <w:t xml:space="preserve"> PROBABLE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Insular interoception has measurable accuracy (heartbeat-detection paradigms) and a growing predictive-processing theory. Firms have a measurable analog: internal-state detection latency and accuracy — how fast a firm senses its own aggregate risk or health. Risk-aggregation failure = organizational alexithymia; over-alerting = organizational health-anxiety. A fully logged macro-scale model for interoceptive prediction, where both the “body signals” and the escalation decisions are recorded.</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M11.  Reward / motivation drive</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VTA → NAcc (incentive salience, dopamine).</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Value-weighted drive channels resources toward expected return.</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Incentive structures and compensation design; capital flowing toward expected return.</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Drive too high → over-pursuit, bubbles (mania/addiction analog). Drive too low → avolition, stagnation.</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Wells Fargo cross-sell scandal: sales quotas plus compensation incentives drove employees to open more than two million unauthorized accounts (later reviews revised the figure to roughly 3.5 million), with about 5,300 dismissals and $185M in initial fines — the reward channel over-driven into compulsive pursuit decoupled from any customer value. The 2008 volume-paid mortgage origination is the systemic version.</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D9EAD3" w:color="auto" w:val="clear"/>
        </w:rPr>
        <w:t xml:space="preserve"> KNOWN (over-driven pole); PROBABLE (under-driven pole)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wanting-vs-liking dissociation (incentive salience without hedonic value) has a clean natural experiment here: comp structures are explicit, adjustable, dopaminergic-analog parameters, and incentive-gaming produces “wanting without liking” at scale — compulsive pursuit detached from actual value creation. Incentive-gaming datasets could test dissociation predictions from the wanting/liking model, complementing dopaminergic reward-circuit work.</w:t>
      </w:r>
    </w:p>
    <w:p>
      <w:pPr>
        <w:pBdr>
          <w:bottom w:val="single" w:color="B7C0CC" w:sz="6" w:space="1"/>
        </w:pBdr>
        <w:spacing w:after="120" w:before="40"/>
      </w:pPr>
    </w:p>
    <w:p>
      <w:pPr>
        <w:pStyle w:val="Heading2"/>
        <w:spacing w:after="90" w:before="220"/>
      </w:pPr>
      <w:r>
        <w:rPr>
          <w:rFonts w:ascii="Calibri" w:cs="Calibri" w:eastAsia="Calibri" w:hAnsi="Calibri"/>
          <w:b/>
          <w:bCs/>
          <w:i w:val="false"/>
          <w:iCs w:val="false"/>
          <w:color w:val="1F2933"/>
          <w:sz w:val="25"/>
          <w:szCs w:val="25"/>
        </w:rPr>
        <w:t xml:space="preserve">M12.  Rhythm generation / entrainment</w:t>
      </w:r>
    </w:p>
    <w:p>
      <w:pPr>
        <w:spacing w:after="120" w:before="0" w:line="264"/>
      </w:pPr>
      <w:r>
        <w:rPr>
          <w:rFonts w:ascii="Calibri" w:cs="Calibri" w:eastAsia="Calibri" w:hAnsi="Calibri"/>
          <w:b/>
          <w:bCs/>
          <w:i w:val="false"/>
          <w:iCs w:val="false"/>
          <w:color w:val="1B4965"/>
          <w:sz w:val="22"/>
          <w:szCs w:val="22"/>
        </w:rPr>
        <w:t xml:space="preserve">Neural substrate.  </w:t>
      </w:r>
      <w:r>
        <w:rPr>
          <w:rFonts w:ascii="Calibri" w:cs="Calibri" w:eastAsia="Calibri" w:hAnsi="Calibri"/>
          <w:b w:val="false"/>
          <w:bCs w:val="false"/>
          <w:i w:val="false"/>
          <w:iCs w:val="false"/>
          <w:color w:val="1F2933"/>
          <w:sz w:val="22"/>
          <w:szCs w:val="22"/>
        </w:rPr>
        <w:t xml:space="preserve">SCN (circadian); oscillatory coupling (theta/gamma).</w:t>
      </w:r>
    </w:p>
    <w:p>
      <w:pPr>
        <w:spacing w:after="120" w:before="0" w:line="264"/>
      </w:pPr>
      <w:r>
        <w:rPr>
          <w:rFonts w:ascii="Calibri" w:cs="Calibri" w:eastAsia="Calibri" w:hAnsi="Calibri"/>
          <w:b/>
          <w:bCs/>
          <w:i w:val="false"/>
          <w:iCs w:val="false"/>
          <w:color w:val="1B4965"/>
          <w:sz w:val="22"/>
          <w:szCs w:val="22"/>
        </w:rPr>
        <w:t xml:space="preserve">Control primitive.  </w:t>
      </w:r>
      <w:r>
        <w:rPr>
          <w:rFonts w:ascii="Calibri" w:cs="Calibri" w:eastAsia="Calibri" w:hAnsi="Calibri"/>
          <w:b w:val="false"/>
          <w:bCs w:val="false"/>
          <w:i w:val="false"/>
          <w:iCs w:val="false"/>
          <w:color w:val="1F2933"/>
          <w:sz w:val="22"/>
          <w:szCs w:val="22"/>
        </w:rPr>
        <w:t xml:space="preserve">A pacemaker sets cadence; units entrain to it.</w:t>
      </w:r>
    </w:p>
    <w:p>
      <w:pPr>
        <w:spacing w:after="120" w:before="0" w:line="264"/>
      </w:pPr>
      <w:r>
        <w:rPr>
          <w:rFonts w:ascii="Calibri" w:cs="Calibri" w:eastAsia="Calibri" w:hAnsi="Calibri"/>
          <w:b/>
          <w:bCs/>
          <w:i w:val="false"/>
          <w:iCs w:val="false"/>
          <w:color w:val="1B4965"/>
          <w:sz w:val="22"/>
          <w:szCs w:val="22"/>
        </w:rPr>
        <w:t xml:space="preserve">Business instantiation.  </w:t>
      </w:r>
      <w:r>
        <w:rPr>
          <w:rFonts w:ascii="Calibri" w:cs="Calibri" w:eastAsia="Calibri" w:hAnsi="Calibri"/>
          <w:b w:val="false"/>
          <w:bCs w:val="false"/>
          <w:i w:val="false"/>
          <w:iCs w:val="false"/>
          <w:color w:val="1F2933"/>
          <w:sz w:val="22"/>
          <w:szCs w:val="22"/>
        </w:rPr>
        <w:t xml:space="preserve">Reporting and earnings cadence that the market phase-locks to; internal operating cadence; market open/close.</w:t>
      </w:r>
    </w:p>
    <w:p>
      <w:pPr>
        <w:spacing w:after="120" w:before="0" w:line="264"/>
      </w:pPr>
      <w:r>
        <w:rPr>
          <w:rFonts w:ascii="Calibri" w:cs="Calibri" w:eastAsia="Calibri" w:hAnsi="Calibri"/>
          <w:b/>
          <w:bCs/>
          <w:i w:val="false"/>
          <w:iCs w:val="false"/>
          <w:color w:val="1B4965"/>
          <w:sz w:val="22"/>
          <w:szCs w:val="22"/>
        </w:rPr>
        <w:t xml:space="preserve">Characteristic failure.  </w:t>
      </w:r>
      <w:r>
        <w:rPr>
          <w:rFonts w:ascii="Calibri" w:cs="Calibri" w:eastAsia="Calibri" w:hAnsi="Calibri"/>
          <w:b w:val="false"/>
          <w:bCs w:val="false"/>
          <w:i w:val="false"/>
          <w:iCs w:val="false"/>
          <w:color w:val="1F2933"/>
          <w:sz w:val="22"/>
          <w:szCs w:val="22"/>
        </w:rPr>
        <w:t xml:space="preserve">Desynchronization → units out of phase, coordination collapse. Over-rigid rhythm → cannot adapt timing to events.</w:t>
      </w:r>
    </w:p>
    <w:p>
      <w:pPr>
        <w:spacing w:after="120" w:before="0" w:line="264"/>
      </w:pPr>
      <w:r>
        <w:rPr>
          <w:rFonts w:ascii="Calibri" w:cs="Calibri" w:eastAsia="Calibri" w:hAnsi="Calibri"/>
          <w:b/>
          <w:bCs/>
          <w:i w:val="false"/>
          <w:iCs w:val="false"/>
          <w:color w:val="1B4965"/>
          <w:sz w:val="22"/>
          <w:szCs w:val="22"/>
        </w:rPr>
        <w:t xml:space="preserve">Documented case.  </w:t>
      </w:r>
      <w:r>
        <w:rPr>
          <w:rFonts w:ascii="Calibri" w:cs="Calibri" w:eastAsia="Calibri" w:hAnsi="Calibri"/>
          <w:b w:val="false"/>
          <w:bCs w:val="false"/>
          <w:i w:val="false"/>
          <w:iCs w:val="false"/>
          <w:color w:val="1F2933"/>
          <w:sz w:val="22"/>
          <w:szCs w:val="22"/>
        </w:rPr>
        <w:t xml:space="preserve">Quarterly-capitalism short-termism — the documented tendency of executives to sacrifice long-term value to hit the quarterly reporting beat — is the over-rigid-rhythm failure. Firm-level desynchronization is real but hard to attach to a single documented collapse.</w:t>
      </w:r>
    </w:p>
    <w:p>
      <w:pPr>
        <w:spacing w:after="120" w:before="0" w:line="264"/>
      </w:pPr>
      <w:r>
        <w:rPr>
          <w:rFonts w:ascii="Calibri" w:cs="Calibri" w:eastAsia="Calibri" w:hAnsi="Calibri"/>
          <w:b/>
          <w:bCs/>
          <w:i w:val="false"/>
          <w:iCs w:val="false"/>
          <w:color w:val="1B4965"/>
          <w:sz w:val="22"/>
          <w:szCs w:val="22"/>
        </w:rPr>
        <w:t xml:space="preserve">Rating.  </w:t>
      </w:r>
      <w:r>
        <w:rPr>
          <w:rFonts w:ascii="Calibri" w:cs="Calibri" w:eastAsia="Calibri" w:hAnsi="Calibri"/>
          <w:b/>
          <w:bCs/>
          <w:i w:val="false"/>
          <w:iCs w:val="false"/>
          <w:color w:val="1F2933"/>
          <w:sz w:val="22"/>
          <w:szCs w:val="22"/>
          <w:shd w:fill="CFE2F3" w:color="auto" w:val="clear"/>
        </w:rPr>
        <w:t xml:space="preserve"> PROBABLE (economy-level); POSSIBLE (firm-level) </w:t>
      </w:r>
    </w:p>
    <w:p>
      <w:pPr>
        <w:spacing w:after="60" w:before="0" w:line="264"/>
      </w:pPr>
      <w:r>
        <w:rPr>
          <w:rFonts w:ascii="Calibri" w:cs="Calibri" w:eastAsia="Calibri" w:hAnsi="Calibri"/>
          <w:b/>
          <w:bCs/>
          <w:i w:val="false"/>
          <w:iCs w:val="false"/>
          <w:color w:val="1B4965"/>
          <w:sz w:val="22"/>
          <w:szCs w:val="22"/>
        </w:rPr>
        <w:t xml:space="preserve">Research opportunity.  </w:t>
      </w:r>
      <w:r>
        <w:rPr>
          <w:rFonts w:ascii="Calibri" w:cs="Calibri" w:eastAsia="Calibri" w:hAnsi="Calibri"/>
          <w:b w:val="false"/>
          <w:bCs w:val="false"/>
          <w:i w:val="false"/>
          <w:iCs w:val="false"/>
          <w:color w:val="1F2933"/>
          <w:sz w:val="22"/>
          <w:szCs w:val="22"/>
        </w:rPr>
        <w:t xml:space="preserve">The weakest motif for a neurologist as a control primitive; cadence is closer to coordination than regulation. If pursued, the tractable version is the cost of over-rigid reporting rhythm as a phase-locking pathology — an economics dataset whose structure mirrors circadian-misalignment cost, of interest mainly if you already work on entrainment or shift-work disruption.</w:t>
      </w:r>
    </w:p>
    <w:p>
      <w:pPr>
        <w:pBdr>
          <w:bottom w:val="single" w:color="B7C0CC" w:sz="6" w:space="1"/>
        </w:pBdr>
        <w:spacing w:after="120" w:before="40"/>
      </w:pPr>
    </w:p>
    <w:p>
      <w:r>
        <w:br w:type="page"/>
      </w:r>
    </w:p>
    <w:p>
      <w:pPr>
        <w:pStyle w:val="Heading1"/>
        <w:spacing w:after="120" w:before="280"/>
      </w:pPr>
      <w:r>
        <w:rPr>
          <w:rFonts w:ascii="Calibri" w:cs="Calibri" w:eastAsia="Calibri" w:hAnsi="Calibri"/>
          <w:b/>
          <w:bCs/>
          <w:i w:val="false"/>
          <w:iCs w:val="false"/>
          <w:color w:val="1B4965"/>
          <w:sz w:val="30"/>
          <w:szCs w:val="30"/>
        </w:rPr>
        <w:t xml:space="preserve">7.  Known-impossible roster — do not map these as business units</w:t>
      </w:r>
    </w:p>
    <w:p>These are the structural no-gos. Crucially, most are impossible only in the firm-as-unit slot: the correct representation exists, it just is not a company. Map them the right way and you regain the coverage without the category error.</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800"/>
        <w:gridCol w:w="3360"/>
      </w:tblGrid>
      <w:tr>
        <w:trPr>
          <w:tblHeader/>
        </w:trPr>
        <w:tc>
          <w:tcPr>
            <w:tcW w:type="dxa" w:w="15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Class</w:t>
            </w:r>
          </w:p>
        </w:tc>
        <w:tc>
          <w:tcPr>
            <w:tcW w:type="dxa" w:w="17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Members</w:t>
            </w:r>
          </w:p>
        </w:tc>
        <w:tc>
          <w:tcPr>
            <w:tcW w:type="dxa" w:w="280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Why impossible as a unit</w:t>
            </w:r>
          </w:p>
        </w:tc>
        <w:tc>
          <w:tcPr>
            <w:tcW w:type="dxa" w:w="3360"/>
            <w:shd w:fill="1B4965" w:color="auto" w:val="clear"/>
            <w:tcMar>
              <w:top w:type="dxa" w:w="70"/>
              <w:left w:type="dxa" w:w="90"/>
              <w:bottom w:type="dxa" w:w="70"/>
              <w:right w:type="dxa" w:w="90"/>
            </w:tcMar>
            <w:vAlign w:val="center"/>
          </w:tcPr>
          <w:p>
            <w:pPr>
              <w:spacing w:after="0"/>
            </w:pPr>
            <w:r>
              <w:rPr>
                <w:rFonts w:ascii="Calibri" w:cs="Calibri" w:eastAsia="Calibri" w:hAnsi="Calibri"/>
                <w:b/>
                <w:bCs/>
                <w:i w:val="false"/>
                <w:iCs w:val="false"/>
                <w:color w:val="FFFFFF"/>
                <w:sz w:val="20"/>
                <w:szCs w:val="20"/>
              </w:rPr>
              <w:t xml:space="preserve">Correct representation</w:t>
            </w:r>
          </w:p>
        </w:tc>
      </w:tr>
      <w:tr>
        <w:tc>
          <w:tcPr>
            <w:tcW w:type="dxa" w:w="1500"/>
            <w:shd w:fill="F4CCC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Tracts</w:t>
            </w:r>
          </w:p>
        </w:tc>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CC, FORN, UNC</w:t>
            </w:r>
          </w:p>
        </w:tc>
        <w:tc>
          <w:tcPr>
            <w:tcW w:type="dxa" w:w="28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A tract is a connection between nodes — it is the edge, with no efferents of its own.</w:t>
            </w:r>
          </w:p>
        </w:tc>
        <w:tc>
          <w:tcPr>
            <w:tcW w:type="dxa" w:w="33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Model as edges: communication channels / reporting lines. Concrete business objects: interbank rails (SWIFT), clearinghouses, EDI links.</w:t>
            </w:r>
          </w:p>
        </w:tc>
      </w:tr>
      <w:tr>
        <w:tc>
          <w:tcPr>
            <w:tcW w:type="dxa" w:w="1500"/>
            <w:shd w:fill="F4CCC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Molecular systems</w:t>
            </w:r>
          </w:p>
        </w:tc>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GABA_GLU, BDNF, TrkB, OPIOID, OXY</w:t>
            </w:r>
          </w:p>
        </w:tc>
        <w:tc>
          <w:tcPr>
            <w:tcW w:type="dxa" w:w="28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Not localizable; no directed axonal output.</w:t>
            </w:r>
          </w:p>
        </w:tc>
        <w:tc>
          <w:tcPr>
            <w:tcW w:type="dxa" w:w="33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Parameters / modulators. BDNF ≈ investment in capability/plasticity; OXY ≈ trust/relationship capital; GABA_GLU ≈ edge sign + gain.</w:t>
            </w:r>
          </w:p>
        </w:tc>
      </w:tr>
      <w:tr>
        <w:tc>
          <w:tcPr>
            <w:tcW w:type="dxa" w:w="1500"/>
            <w:shd w:fill="F4CCC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Composites</w:t>
            </w:r>
          </w:p>
        </w:tc>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DMN, SN, HPA, FPN/ECN, STRI</w:t>
            </w:r>
          </w:p>
        </w:tc>
        <w:tc>
          <w:tcPr>
            <w:tcW w:type="dxa" w:w="28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Read-only computed views, not edge endpoints or single firms.</w:t>
            </w:r>
          </w:p>
        </w:tc>
        <w:tc>
          <w:tcPr>
            <w:tcW w:type="dxa" w:w="33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Aggregated views. HPA maps as a loop (HYPO → PIT → ADR), never a point node.</w:t>
            </w:r>
          </w:p>
        </w:tc>
      </w:tr>
      <w:tr>
        <w:tc>
          <w:tcPr>
            <w:tcW w:type="dxa" w:w="1500"/>
            <w:shd w:fill="F4CCC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Constructs / states</w:t>
            </w:r>
          </w:p>
        </w:tc>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EI, OSC, EMP, DISS</w:t>
            </w:r>
          </w:p>
        </w:tc>
        <w:tc>
          <w:tcPr>
            <w:tcW w:type="dxa" w:w="28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Regulation or emergent state, not a regulated entity.</w:t>
            </w:r>
          </w:p>
        </w:tc>
        <w:tc>
          <w:tcPr>
            <w:tcW w:type="dxa" w:w="33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EI → the E/I parameter (Motif 9); OSC → the rhythm of Motif 12; EMP / DISS → computed views, no business-function entity.</w:t>
            </w:r>
          </w:p>
        </w:tc>
      </w:tr>
      <w:tr>
        <w:tc>
          <w:tcPr>
            <w:tcW w:type="dxa" w:w="1500"/>
            <w:shd w:fill="F4CCC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1F2933"/>
                <w:sz w:val="20"/>
                <w:szCs w:val="20"/>
              </w:rPr>
              <w:t xml:space="preserve">Abbreviation collision</w:t>
            </w:r>
          </w:p>
        </w:tc>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SN vs. SNIG</w:t>
            </w:r>
          </w:p>
        </w:tc>
        <w:tc>
          <w:tcPr>
            <w:tcW w:type="dxa" w:w="28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SN = Salience Network; SNIG = Substantia Nigra. Different objects.</w:t>
            </w:r>
          </w:p>
        </w:tc>
        <w:tc>
          <w:tcPr>
            <w:tcW w:type="dxa" w:w="33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F2933"/>
                <w:sz w:val="20"/>
                <w:szCs w:val="20"/>
              </w:rPr>
              <w:t xml:space="preserve">Keep strictly distinct. Any registry merge that treats them as one node is a hard error.</w:t>
            </w:r>
          </w:p>
        </w:tc>
      </w:tr>
    </w:tbl>
    <w:p>
      <w:pPr>
        <w:pStyle w:val="Heading1"/>
        <w:spacing w:after="120" w:before="280"/>
      </w:pPr>
      <w:r>
        <w:rPr>
          <w:rFonts w:ascii="Calibri" w:cs="Calibri" w:eastAsia="Calibri" w:hAnsi="Calibri"/>
          <w:b/>
          <w:bCs/>
          <w:i w:val="false"/>
          <w:iCs w:val="false"/>
          <w:color w:val="1B4965"/>
          <w:sz w:val="30"/>
          <w:szCs w:val="30"/>
        </w:rPr>
        <w:t xml:space="preserve">8.  Where I would start — ranked targets</w:t>
      </w:r>
    </w:p>
    <w:p>Ranked by (a) tightness of the structural match, (b) quality of the business ground-truth data, and (c) neurological interest and fundability.</w:p>
    <w:p>
      <w:pPr>
        <w:spacing w:after="30" w:before="0" w:line="264"/>
      </w:pPr>
      <w:r>
        <w:rPr>
          <w:rFonts w:ascii="Calibri" w:cs="Calibri" w:eastAsia="Calibri" w:hAnsi="Calibri"/>
          <w:b/>
          <w:bCs/>
          <w:i w:val="false"/>
          <w:iCs w:val="false"/>
          <w:color w:val="1F2933"/>
          <w:sz w:val="22"/>
          <w:szCs w:val="22"/>
        </w:rPr>
        <w:t xml:space="preserve">1.  Top-down inhibitory brake (M1) — the latency-ratio test.</w:t>
      </w:r>
    </w:p>
    <w:p>
      <w:pPr>
        <w:spacing w:after="120" w:before="0" w:line="264"/>
      </w:pPr>
      <w:r>
        <w:rPr>
          <w:rFonts w:ascii="Calibri" w:cs="Calibri" w:eastAsia="Calibri" w:hAnsi="Calibri"/>
          <w:b w:val="false"/>
          <w:bCs w:val="false"/>
          <w:i w:val="false"/>
          <w:iCs w:val="false"/>
          <w:color w:val="1F2933"/>
          <w:sz w:val="22"/>
          <w:szCs w:val="22"/>
        </w:rPr>
        <w:t xml:space="preserve">The flagship. It is the one place with a dated, minute-resolution failure record (Archegos) and a clean dimensionless quantity to test across scales. If any single result would move this from analogy to isomorphism, it is here.</w:t>
      </w:r>
    </w:p>
    <w:p>
      <w:pPr>
        <w:spacing w:after="30" w:before="0" w:line="264"/>
      </w:pPr>
      <w:r>
        <w:rPr>
          <w:rFonts w:ascii="Calibri" w:cs="Calibri" w:eastAsia="Calibri" w:hAnsi="Calibri"/>
          <w:b/>
          <w:bCs/>
          <w:i w:val="false"/>
          <w:iCs w:val="false"/>
          <w:color w:val="1F2933"/>
          <w:sz w:val="22"/>
          <w:szCs w:val="22"/>
        </w:rPr>
        <w:t xml:space="preserve">2.  Anti-reward brake (M8) — the habenula pipeline.</w:t>
      </w:r>
    </w:p>
    <w:p>
      <w:pPr>
        <w:spacing w:after="120" w:before="0" w:line="264"/>
      </w:pPr>
      <w:r>
        <w:rPr>
          <w:rFonts w:ascii="Calibri" w:cs="Calibri" w:eastAsia="Calibri" w:hAnsi="Calibri"/>
          <w:b w:val="false"/>
          <w:bCs w:val="false"/>
          <w:i w:val="false"/>
          <w:iCs w:val="false"/>
          <w:color w:val="1F2933"/>
          <w:sz w:val="22"/>
          <w:szCs w:val="22"/>
        </w:rPr>
        <w:t xml:space="preserve">Highest clinical interest. The lateral habenula is an active depression / DBS target, and business hands you well-documented both-pole failures (escalation-of-commitment; paralytic over-braking) with numbers. Behaviorally richer than rodent paradigms alone.</w:t>
      </w:r>
    </w:p>
    <w:p>
      <w:pPr>
        <w:spacing w:after="30" w:before="0" w:line="264"/>
      </w:pPr>
      <w:r>
        <w:rPr>
          <w:rFonts w:ascii="Calibri" w:cs="Calibri" w:eastAsia="Calibri" w:hAnsi="Calibri"/>
          <w:b/>
          <w:bCs/>
          <w:i w:val="false"/>
          <w:iCs w:val="false"/>
          <w:color w:val="1F2933"/>
          <w:sz w:val="22"/>
          <w:szCs w:val="22"/>
        </w:rPr>
        <w:t xml:space="preserve">3.  Homeostatic feedback (M3) — delay-oscillation stability law.</w:t>
      </w:r>
    </w:p>
    <w:p>
      <w:pPr>
        <w:spacing w:after="120" w:before="0" w:line="264"/>
      </w:pPr>
      <w:r>
        <w:rPr>
          <w:rFonts w:ascii="Calibri" w:cs="Calibri" w:eastAsia="Calibri" w:hAnsi="Calibri"/>
          <w:b w:val="false"/>
          <w:bCs w:val="false"/>
          <w:i w:val="false"/>
          <w:iCs w:val="false"/>
          <w:color w:val="1F2933"/>
          <w:sz w:val="22"/>
          <w:szCs w:val="22"/>
        </w:rPr>
        <w:t xml:space="preserve">The case where business is the better instrument. Bullwhip is a clean, high-N control-theory instability; use it to fix the stability invariant, then export the test to neuroendocrine cycling.</w:t>
      </w:r>
    </w:p>
    <w:p>
      <w:pPr>
        <w:spacing w:after="30" w:before="0" w:line="264"/>
      </w:pPr>
      <w:r>
        <w:rPr>
          <w:rFonts w:ascii="Calibri" w:cs="Calibri" w:eastAsia="Calibri" w:hAnsi="Calibri"/>
          <w:b/>
          <w:bCs/>
          <w:i w:val="false"/>
          <w:iCs w:val="false"/>
          <w:color w:val="1F2933"/>
          <w:sz w:val="22"/>
          <w:szCs w:val="22"/>
        </w:rPr>
        <w:t xml:space="preserve">4.  Prediction-error (M6) — observable precision.</w:t>
      </w:r>
    </w:p>
    <w:p>
      <w:pPr>
        <w:spacing w:after="120" w:before="0" w:line="264"/>
      </w:pPr>
      <w:r>
        <w:rPr>
          <w:rFonts w:ascii="Calibri" w:cs="Calibri" w:eastAsia="Calibri" w:hAnsi="Calibri"/>
          <w:b w:val="false"/>
          <w:bCs w:val="false"/>
          <w:i w:val="false"/>
          <w:iCs w:val="false"/>
          <w:color w:val="1F2933"/>
          <w:sz w:val="22"/>
          <w:szCs w:val="22"/>
        </w:rPr>
        <w:t xml:space="preserve">The precision parameter you infer indirectly in cortex is written down explicitly as a forecasting learning rate. Rare direct access to the free parameter.</w:t>
      </w:r>
    </w:p>
    <w:p>
      <w:pPr>
        <w:spacing w:after="30" w:before="0" w:line="264"/>
      </w:pPr>
      <w:r>
        <w:rPr>
          <w:rFonts w:ascii="Calibri" w:cs="Calibri" w:eastAsia="Calibri" w:hAnsi="Calibri"/>
          <w:b/>
          <w:bCs/>
          <w:i w:val="false"/>
          <w:iCs w:val="false"/>
          <w:color w:val="1F2933"/>
          <w:sz w:val="22"/>
          <w:szCs w:val="22"/>
        </w:rPr>
        <w:t xml:space="preserve">5.  Gating (M4) — borrowable thresholds + a natural experiment.</w:t>
      </w:r>
    </w:p>
    <w:p>
      <w:pPr>
        <w:spacing w:after="120" w:before="0" w:line="264"/>
      </w:pPr>
      <w:r>
        <w:rPr>
          <w:rFonts w:ascii="Calibri" w:cs="Calibri" w:eastAsia="Calibri" w:hAnsi="Calibri"/>
          <w:b w:val="false"/>
          <w:bCs w:val="false"/>
          <w:i w:val="false"/>
          <w:iCs w:val="false"/>
          <w:color w:val="1F2933"/>
          <w:sz w:val="22"/>
          <w:szCs w:val="22"/>
        </w:rPr>
        <w:t xml:space="preserve">Published trip thresholds and a genuine before/after (Flash Crash → LULD) make this unusually tractable for a first study.</w:t>
      </w:r>
    </w:p>
    <w:p>
      <w:pPr>
        <w:pStyle w:val="Heading1"/>
        <w:spacing w:after="120" w:before="280"/>
      </w:pPr>
      <w:r>
        <w:rPr>
          <w:rFonts w:ascii="Calibri" w:cs="Calibri" w:eastAsia="Calibri" w:hAnsi="Calibri"/>
          <w:b/>
          <w:bCs/>
          <w:i w:val="false"/>
          <w:iCs w:val="false"/>
          <w:color w:val="1B4965"/>
          <w:sz w:val="30"/>
          <w:szCs w:val="30"/>
        </w:rPr>
        <w:t xml:space="preserve">9.  The falsification standard — how to actually test isomorphism</w:t>
      </w:r>
    </w:p>
    <w:p>So you can tell a reviewer where the bar is: a shared failure-mode name (runaway, lock-up, oscillation, starvation) buys you analogy and nothing more. To earn isomorphism you need a shared dimensionless invariant — a ratio, threshold, or stability criterion that holds under parameter rescaling across the two scales. That is the win condition, and it is also the kill condition, which is what makes it real science rather than pattern-matching.</w:p>
    <w:p>
      <w:pPr>
        <w:spacing w:after="120" w:before="0" w:line="264"/>
      </w:pPr>
      <w:r>
        <w:rPr>
          <w:rFonts w:ascii="Calibri" w:cs="Calibri" w:eastAsia="Calibri" w:hAnsi="Calibri"/>
          <w:b/>
          <w:bCs/>
          <w:i w:val="false"/>
          <w:iCs w:val="false"/>
          <w:color w:val="1F2933"/>
          <w:sz w:val="22"/>
          <w:szCs w:val="22"/>
        </w:rPr>
        <w:t xml:space="preserve">Worked example (M1). </w:t>
      </w:r>
      <w:r>
        <w:rPr>
          <w:rFonts w:ascii="Calibri" w:cs="Calibri" w:eastAsia="Calibri" w:hAnsi="Calibri"/>
          <w:b w:val="false"/>
          <w:bCs w:val="false"/>
          <w:i w:val="false"/>
          <w:iCs w:val="false"/>
          <w:color w:val="1F2933"/>
          <w:sz w:val="22"/>
          <w:szCs w:val="22"/>
        </w:rPr>
        <w:t xml:space="preserve">Take τ(brake)/τ(reactive): the latency of the slow deliberative override divided by the response time of the fast reactive unit. In extinction, read these from the conditioning and recall latencies; in the Archegos record, read them from the breach-to-escalation-to-action timeline. Predict a critical ratio above which the loop fails. If the critical ratio is materially the same in extinction-failure and risk-control-failure, you have an isomorphism for that motif. If it is materially different, the isomorphism is falsified there and the motif is demoted to analogy — which is itself a clean, publishable result. Either outcome is a finding; neither requires believing the brain built the bank.</w:t>
      </w:r>
    </w:p>
    <w:p>
      <w:pPr>
        <w:pStyle w:val="Heading1"/>
        <w:spacing w:after="120" w:before="280"/>
      </w:pPr>
      <w:r>
        <w:rPr>
          <w:rFonts w:ascii="Calibri" w:cs="Calibri" w:eastAsia="Calibri" w:hAnsi="Calibri"/>
          <w:b/>
          <w:bCs/>
          <w:i w:val="false"/>
          <w:iCs w:val="false"/>
          <w:color w:val="1B4965"/>
          <w:sz w:val="30"/>
          <w:szCs w:val="30"/>
        </w:rPr>
        <w:t xml:space="preserve">10.  Sourcing note</w:t>
      </w:r>
    </w:p>
    <w:p>In the spirit of not handing you anything that merely sounds right: four anchor cases were verified this session against primary regulatory / investigative and contemporaneous press sources — Knight Capital (~$440M pre-tax, ~45 minutes, no effective kill-switch), Credit Suisse / Archegos (~$5.5B; risk brake present but overridden, with Goldman and Morgan Stanley as the intact-brake contrast), Wells Fargo (&gt;2M unauthorized accounts, later revised toward ~3.5M; ~5,300 dismissals; $185M initial fines), and the JPMorgan London Whale (~$6.2B; VaR limit breached then replaced with a more lenient model; book grew toward ~$157B notional).</w:p>
    <w:p>The remaining cases — Barings, LTCM, the bullwhip effect, Zara, the Boeing 737 MAX, Kodak, Intel, market circuit breakers and the 2010 Flash Crash, Amaranth, product-retirement practice, and the short-termism literature — are drawn from standard management and financial case literature; figures are approximate and the structural claims, not the exact numbers, are load-bearing. Neuroanatomical relationships are stated as consensus textbook neuroscience and were not re-verified against primary sources in this document; that verification pass is yours to run and is exactly the kind of thing that should not be taken on my authority.</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Regulatory-Control Isomorphisms Between Neural and Business Systems</dc:title>
  <dc:creator>Strategy faculty</dc:creator>
  <cp:lastModifiedBy>Un-named</cp:lastModifiedBy>
  <cp:revision>1</cp:revision>
  <dcterms:created xsi:type="dcterms:W3CDTF">2026-07-09T22:20:13.413Z</dcterms:created>
  <dcterms:modified xsi:type="dcterms:W3CDTF">2026-07-09T22:20:13.425Z</dcterms:modified>
</cp:coreProperties>
</file>

<file path=docProps/custom.xml><?xml version="1.0" encoding="utf-8"?>
<Properties xmlns="http://schemas.openxmlformats.org/officeDocument/2006/custom-properties" xmlns:vt="http://schemas.openxmlformats.org/officeDocument/2006/docPropsVTypes"/>
</file>