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 A"/>
        <w:jc w:val="center"/>
        <w:outlineLvl w:val="0"/>
      </w:pP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华中科技大学软件学院专业实训（一</w:t>
      </w:r>
      <w:r>
        <w:rPr>
          <w:rFonts w:ascii="黑体" w:cs="黑体" w:hAnsi="黑体" w:eastAsia="黑体"/>
          <w:sz w:val="36"/>
          <w:szCs w:val="36"/>
          <w:rtl w:val="0"/>
          <w:lang w:val="en-US"/>
        </w:rPr>
        <w:t>/</w:t>
      </w:r>
      <w:r>
        <w:rPr>
          <w:rFonts w:ascii="黑体" w:cs="黑体" w:hAnsi="黑体" w:eastAsia="黑体"/>
          <w:sz w:val="36"/>
          <w:szCs w:val="36"/>
          <w:rtl w:val="0"/>
          <w:lang w:val="zh-TW" w:eastAsia="zh-TW"/>
        </w:rPr>
        <w:t>二）学生周报</w:t>
      </w:r>
    </w:p>
    <w:p>
      <w:pPr>
        <w:pStyle w:val="正文 A"/>
      </w:pPr>
    </w:p>
    <w:tbl>
      <w:tblPr>
        <w:tblW w:w="8556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509"/>
        <w:gridCol w:w="1560"/>
        <w:gridCol w:w="1179"/>
        <w:gridCol w:w="1326"/>
        <w:gridCol w:w="1326"/>
        <w:gridCol w:w="1656"/>
      </w:tblGrid>
      <w:tr>
        <w:tblPrEx>
          <w:shd w:val="clear" w:color="auto" w:fill="ced7e7"/>
        </w:tblPrEx>
        <w:trPr>
          <w:trHeight w:val="44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学生姓名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龚子昂</w:t>
            </w:r>
          </w:p>
        </w:tc>
        <w:tc>
          <w:tcPr>
            <w:tcW w:type="dxa" w:w="11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专业班级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软件</w:t>
            </w: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1806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学号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U201817140</w:t>
            </w:r>
          </w:p>
        </w:tc>
      </w:tr>
      <w:tr>
        <w:tblPrEx>
          <w:shd w:val="clear" w:color="auto" w:fill="ced7e7"/>
        </w:tblPrEx>
        <w:trPr>
          <w:trHeight w:val="442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hd w:val="nil" w:color="auto" w:fill="auto"/>
                <w:rtl w:val="0"/>
                <w:lang w:val="zh-TW" w:eastAsia="zh-TW"/>
              </w:rPr>
              <w:t>项目名称</w:t>
            </w:r>
          </w:p>
        </w:tc>
        <w:tc>
          <w:tcPr>
            <w:tcW w:type="dxa" w:w="406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网上银行系统</w:t>
            </w:r>
          </w:p>
        </w:tc>
        <w:tc>
          <w:tcPr>
            <w:tcW w:type="dxa" w:w="13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时间</w:t>
            </w:r>
            <w:r>
              <w:rPr>
                <w:rFonts w:ascii="Times New Roman" w:hAnsi="Times New Roman"/>
                <w:b w:val="1"/>
                <w:bCs w:val="1"/>
                <w:shd w:val="nil" w:color="auto" w:fill="auto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 w:hint="eastAsia"/>
                <w:b w:val="1"/>
                <w:bCs w:val="1"/>
                <w:shd w:val="nil" w:color="auto" w:fill="auto"/>
                <w:rtl w:val="0"/>
                <w:lang w:val="zh-TW" w:eastAsia="zh-TW"/>
              </w:rPr>
              <w:t>周次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5367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本周主要学习的知识以及项目实践内容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学习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spring boot 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的相关知识以及对数据库的操作，学习了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postman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工具的使用。和组员一起讨论了整体框架和数据库表的实例，系统管理模块的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API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文档，正式开始系统管理模块的编码。</w:t>
            </w:r>
          </w:p>
        </w:tc>
      </w:tr>
      <w:tr>
        <w:tblPrEx>
          <w:shd w:val="clear" w:color="auto" w:fill="ced7e7"/>
        </w:tblPrEx>
        <w:trPr>
          <w:trHeight w:val="5548" w:hRule="atLeast"/>
        </w:trPr>
        <w:tc>
          <w:tcPr>
            <w:tcW w:type="dxa" w:w="15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nil" w:color="auto" w:fill="auto"/>
                <w:rtl w:val="0"/>
                <w:lang w:val="zh-TW" w:eastAsia="zh-TW"/>
              </w:rPr>
              <w:t>项目实践过程遇到的问题以及解决问题时的思考过程和方法</w:t>
            </w:r>
          </w:p>
        </w:tc>
        <w:tc>
          <w:tcPr>
            <w:tcW w:type="dxa" w:w="7047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both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环境配置问题：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JDK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版本有误，原本配置的是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JDK11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，后来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pull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下来后发现报错，检查后发现应该是</w:t>
            </w: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JDK8u231</w:t>
            </w:r>
            <w:r>
              <w:rPr>
                <w:rFonts w:ascii="Arial Unicode MS" w:cs="Arial Unicode MS" w:hAnsi="Arial Unicode MS" w:eastAsia="Times New Roman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，重新配置了环境。</w:t>
            </w:r>
          </w:p>
        </w:tc>
      </w:tr>
    </w:tbl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黑体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