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研究启动与阶段性成果报告</w:t>
      </w:r>
    </w:p>
    <w:p>
      <w:pPr>
        <w:pStyle w:val="Title"/>
      </w:pPr>
      <w:r>
        <w:t>皮肤癌跨域诊断中</w:t>
        <w:br/>
        <w:t>临床概念可靠性研究</w:t>
      </w:r>
    </w:p>
    <w:p>
      <w:r>
        <w:t>Clinical Concept Reliability under Cross-Domain Shift for Skin Cancer Diagnosis</w:t>
      </w:r>
    </w:p>
    <w:p>
      <w:pPr>
        <w:pStyle w:val="Subtitle"/>
      </w:pPr>
      <w:r>
        <w:t>Research Report v0.1  |  数据审计与第一阶段基线研究计划</w:t>
      </w:r>
    </w:p>
    <w:p>
      <w:r>
        <w:t>编制日期：2026 年 10 月 8 日  /  资料核查截至本报告日期</w:t>
      </w:r>
    </w:p>
    <w:p>
      <w:r>
        <w:t>研究性质：科研讨论与阶段汇报；非临床诊断工具、非已发表研究结果</w:t>
      </w:r>
    </w:p>
    <w:p>
      <w:r>
        <w:t>代码仓库：https://github.com/LIN-LOUIS/SkinCancer-AI-Research</w:t>
      </w:r>
    </w:p>
    <w:p>
      <w:r>
        <w:t>审计版本：Data Audit v0.1  ·  分支 research/data-audit-v0.1  ·  commit 0bd3624</w:t>
      </w:r>
    </w:p>
    <w:p>
      <w:r>
        <w:t>当前阶段：Data Audit READY；Protocol 工程实施、模型训练与模型性能验证尚未完成。</w:t>
      </w:r>
    </w:p>
    <w:p>
      <w:pPr>
        <w:pStyle w:val="Heading2"/>
      </w:pPr>
      <w:r>
        <w:t>报告要点</w:t>
      </w:r>
    </w:p>
    <w:p>
      <w:pPr>
        <w:pStyle w:val="ListBullet"/>
      </w:pPr>
      <w:r>
        <w:t>研究核心：区分诊断模型的跨域性能变化与临床概念本身的可靠性变化。</w:t>
      </w:r>
    </w:p>
    <w:p>
      <w:pPr>
        <w:pStyle w:val="ListBullet"/>
      </w:pPr>
      <w:r>
        <w:t>实证基础：已审计 Derm7pt 1,011 病例及 PAD-UFES-20 2,298 图像；公开可复现的汇总审计工件。</w:t>
      </w:r>
    </w:p>
    <w:p>
      <w:pPr>
        <w:pStyle w:val="ListBullet"/>
      </w:pPr>
      <w:r>
        <w:t>优先任务：冻结防泄漏协议，运行 ResNet50 / BiomedCLIP / MONET，并产出病例配对和患者聚类的外部评估。</w:t>
      </w:r>
    </w:p>
    <w:p>
      <w:pPr>
        <w:pStyle w:val="ListBullet"/>
      </w:pPr>
      <w:r>
        <w:t>创新约束：已存在概念增强跨域适配工作（CVPR 2026 CoFiDA-M），创新应落在可靠性测量及机制验证，而非泛称“首次概念跨域”。</w:t>
      </w:r>
    </w:p>
    <w:p>
      <w:r>
        <w:br w:type="page"/>
      </w:r>
    </w:p>
    <w:p>
      <w:pPr>
        <w:pStyle w:val="Heading1"/>
      </w:pPr>
      <w:r>
        <w:t>摘要</w:t>
      </w:r>
    </w:p>
    <w:p>
      <w:r>
        <w:t>本课题面向皮肤癌辅助诊断模型在皮肤镜、临床照片及不同数据中心之间迁移时的可靠性问题。现有研究已经在大规模皮肤病基础模型、视觉语言预训练与概念辅助诊断方面取得显著进展，但高性能并不自动意味着临床概念正确、不同设备和人群下的结果稳定，或预测阈值可在真实临床场景中保持有效。本研究提出“诊断能力—概念正确性—跨域稳定性”联合评测框架，以 Derm7pt 的配对皮肤镜/临床图像与七项概念标注为主要研究环境，以 PAD-UFES-20 智能手机临床照片为独立外部验证环境，系统比较 ResNet50、BiomedCLIP、MONET 及后续概念方法。</w:t>
      </w:r>
    </w:p>
    <w:p>
      <w:r>
        <w:t>项目已完成 Data Audit v0.1：Derm7pt 共 1,011 条病例记录、2,013 个独立图像文件，黑色素瘤 252 例；PAD-UFES-20 共 2,298 张图像、1,373 名患者、1,641 个病灶，黑色素瘤图像 52 张。已经实现标签映射、缺失模式统计、官方划分完整性检查、自动化测试及结果版本管理，但尚未获得正式模型训练结果。本报告给出科学问题、国际对照、技术方案、第一阶段实验矩阵和验收条件，不预设方法有效性。</w:t>
      </w:r>
    </w:p>
    <w:p>
      <w:pPr>
        <w:pStyle w:val="Heading1"/>
      </w:pPr>
      <w:r>
        <w:t>1. 课题目的、研究范围与科学问题</w:t>
      </w:r>
    </w:p>
    <w:p>
      <w:r>
        <w:t>课题定位：面向黑色素瘤（melanoma）识别的鲁棒可信医学人工智能。第一篇论文不试图同时完成皮肤病全病种分类、病灶分割及严重程度分级，而是先证明一个具体、可重复验证的问题。后续再扩展皮肤癌分割、严重程度量化、纵向随访和病理 WSI。</w:t>
      </w:r>
    </w:p>
    <w:tbl>
      <w:tblPr>
        <w:tblStyle w:val="LightShading-Accent1"/>
        <w:tblW w:type="auto" w:w="0"/>
        <w:jc w:val="center"/>
        <w:tblLook w:firstColumn="1" w:firstRow="1" w:lastColumn="0" w:lastRow="0" w:noHBand="0" w:noVBand="1" w:val="04A0"/>
      </w:tblPr>
      <w:tblGrid>
        <w:gridCol w:w="4674"/>
        <w:gridCol w:w="4674"/>
      </w:tblGrid>
      <w:tr>
        <w:tc>
          <w:tcPr>
            <w:tcW w:type="dxa" w:w="4674"/>
            <w:vAlign w:val="center"/>
          </w:tcPr>
          <w:p>
            <w:pPr>
              <w:spacing w:after="40" w:before="40"/>
            </w:pPr>
            <w:r>
              <w:rPr>
                <w:b/>
                <w:color w:val="1D4066"/>
                <w:sz w:val="17"/>
              </w:rPr>
              <w:t>科学问题</w:t>
            </w:r>
          </w:p>
        </w:tc>
        <w:tc>
          <w:tcPr>
            <w:tcW w:type="dxa" w:w="4674"/>
            <w:vAlign w:val="center"/>
          </w:tcPr>
          <w:p>
            <w:pPr>
              <w:spacing w:after="40" w:before="40"/>
            </w:pPr>
            <w:r>
              <w:rPr>
                <w:b/>
                <w:color w:val="1D4066"/>
                <w:sz w:val="17"/>
              </w:rPr>
              <w:t>可检验假设与证据</w:t>
            </w:r>
          </w:p>
        </w:tc>
      </w:tr>
      <w:tr>
        <w:tc>
          <w:tcPr>
            <w:tcW w:type="dxa" w:w="4674"/>
            <w:vAlign w:val="center"/>
          </w:tcPr>
          <w:p>
            <w:pPr>
              <w:spacing w:after="40" w:before="40"/>
            </w:pPr>
            <w:r>
              <w:rPr>
                <w:sz w:val="17"/>
              </w:rPr>
              <w:t>RQ1 诊断是否跨域稳定？</w:t>
            </w:r>
          </w:p>
        </w:tc>
        <w:tc>
          <w:tcPr>
            <w:tcW w:type="dxa" w:w="4674"/>
            <w:vAlign w:val="center"/>
          </w:tcPr>
          <w:p>
            <w:pPr>
              <w:spacing w:after="40" w:before="40"/>
            </w:pPr>
            <w:r>
              <w:rPr>
                <w:sz w:val="17"/>
              </w:rPr>
              <w:t>固定训练域与阈值，比较 A→A、A→B、A→C、B→B、B→C 的 AUROC、AUPRC、敏感度、特异度及校准。</w:t>
            </w:r>
          </w:p>
        </w:tc>
      </w:tr>
      <w:tr>
        <w:tc>
          <w:tcPr>
            <w:tcW w:type="dxa" w:w="4674"/>
            <w:vAlign w:val="center"/>
          </w:tcPr>
          <w:p>
            <w:pPr>
              <w:spacing w:after="40" w:before="40"/>
            </w:pPr>
            <w:r>
              <w:rPr>
                <w:sz w:val="17"/>
              </w:rPr>
              <w:t>RQ2 临床概念是否正确且稳定？</w:t>
            </w:r>
          </w:p>
        </w:tc>
        <w:tc>
          <w:tcPr>
            <w:tcW w:type="dxa" w:w="4674"/>
            <w:vAlign w:val="center"/>
          </w:tcPr>
          <w:p>
            <w:pPr>
              <w:spacing w:after="40" w:before="40"/>
            </w:pPr>
            <w:r>
              <w:rPr>
                <w:sz w:val="17"/>
              </w:rPr>
              <w:t>在有概念 GT 的 Derm7pt 计算逐概念准确性/分类指标；同病例跨模态衡量预测一致性及其不确定性。</w:t>
            </w:r>
          </w:p>
        </w:tc>
      </w:tr>
      <w:tr>
        <w:tc>
          <w:tcPr>
            <w:tcW w:type="dxa" w:w="4674"/>
            <w:vAlign w:val="center"/>
          </w:tcPr>
          <w:p>
            <w:pPr>
              <w:spacing w:after="40" w:before="40"/>
            </w:pPr>
            <w:r>
              <w:rPr>
                <w:sz w:val="17"/>
              </w:rPr>
              <w:t>RQ3 概念失效与误诊有何关系？</w:t>
            </w:r>
          </w:p>
        </w:tc>
        <w:tc>
          <w:tcPr>
            <w:tcW w:type="dxa" w:w="4674"/>
            <w:vAlign w:val="center"/>
          </w:tcPr>
          <w:p>
            <w:pPr>
              <w:spacing w:after="40" w:before="40"/>
            </w:pPr>
            <w:r>
              <w:rPr>
                <w:sz w:val="17"/>
              </w:rPr>
              <w:t>分析概念错误、预测翻转、置信度偏移和黑色素瘤漏诊之间的统计关联；不轻易声称因果。</w:t>
            </w:r>
          </w:p>
        </w:tc>
      </w:tr>
      <w:tr>
        <w:tc>
          <w:tcPr>
            <w:tcW w:type="dxa" w:w="4674"/>
            <w:vAlign w:val="center"/>
          </w:tcPr>
          <w:p>
            <w:pPr>
              <w:spacing w:after="40" w:before="40"/>
            </w:pPr>
            <w:r>
              <w:rPr>
                <w:sz w:val="17"/>
              </w:rPr>
              <w:t>RQ4 可靠性感知处理是否有效？</w:t>
            </w:r>
          </w:p>
        </w:tc>
        <w:tc>
          <w:tcPr>
            <w:tcW w:type="dxa" w:w="4674"/>
            <w:vAlign w:val="center"/>
          </w:tcPr>
          <w:p>
            <w:pPr>
              <w:spacing w:after="40" w:before="40"/>
            </w:pPr>
            <w:r>
              <w:rPr>
                <w:sz w:val="17"/>
              </w:rPr>
              <w:t>仅在前述实证问题得到支持后，设计选择性使用/抑制不可靠概念的轻量方法并做消融。</w:t>
            </w:r>
          </w:p>
        </w:tc>
      </w:tr>
    </w:tbl>
    <w:p>
      <w:pPr>
        <w:spacing w:after="20"/>
      </w:pPr>
    </w:p>
    <w:p>
      <w:r>
        <w:t>任务边界：二分类定义为 melanoma vs non-melanoma，而不是 malignant vs benign。BCC、SCC 在本任务中属于 non-melanoma 负类，但绝非“良性”疾病。所有论文表格和脚本须明确正类定义。</w:t>
      </w:r>
    </w:p>
    <w:p>
      <w:pPr>
        <w:pStyle w:val="Heading1"/>
      </w:pPr>
      <w:r>
        <w:t>2. 研究背景与临床意义</w:t>
      </w:r>
    </w:p>
    <w:p>
      <w:r>
        <w:t>根据 IARC/WHO GLOBOCAN 2022 全球估计，皮肤黑色素瘤新发约 331,722 例、死亡约 58,667 例[1]。早期识别对风险分层和转诊有现实价值，而规范化皮肤镜与普通临床拍照的采集条件存在显著差异。专家级皮肤镜模型在医院或移动设备图像上可能面临分辨率、光照、背景、病灶位置、肤色及患病率变化。</w:t>
      </w:r>
    </w:p>
    <w:p>
      <w:r>
        <w:t>人工智能进入临床时，不只需要较高 AUROC，还应回答“漏诊了哪些病例”“为什么出现错误”“模型依据的临床概念是否可见、可信”“评价结论能否推广到新患者”。前瞻性多中心研究亦指出历史研究常受样本量、样本同质性及罕见亚型覆盖不足限制[2]。因此本课题将可复现外部验证、概念质量审计和患者层级统计视为核心研究任务。</w:t>
      </w:r>
    </w:p>
    <w:p>
      <w:pPr>
        <w:pStyle w:val="Heading1"/>
      </w:pPr>
      <w:r>
        <w:t>3. 2024—2026 年国际研究进度与成果对比</w:t>
      </w:r>
    </w:p>
    <w:p>
      <w:r>
        <w:t>当前国际研究大致形成四条技术路线：大规模视觉基础模型、医学图文/概念对齐、跨域泛化与适配、临床可信评估。以下是按原论文/官方页面核查的代表性研究，不代表全球完整文献系统综述。</w:t>
      </w:r>
    </w:p>
    <w:tbl>
      <w:tblPr>
        <w:tblStyle w:val="LightShading-Accent1"/>
        <w:tblW w:type="auto" w:w="0"/>
        <w:jc w:val="center"/>
        <w:tblLook w:firstColumn="1" w:firstRow="1" w:lastColumn="0" w:lastRow="0" w:noHBand="0" w:noVBand="1" w:val="04A0"/>
      </w:tblPr>
      <w:tblGrid>
        <w:gridCol w:w="1870"/>
        <w:gridCol w:w="1870"/>
        <w:gridCol w:w="1870"/>
        <w:gridCol w:w="1870"/>
        <w:gridCol w:w="1870"/>
      </w:tblGrid>
      <w:tr>
        <w:tc>
          <w:tcPr>
            <w:tcW w:type="dxa" w:w="1870"/>
            <w:vAlign w:val="center"/>
          </w:tcPr>
          <w:p>
            <w:pPr>
              <w:spacing w:after="40" w:before="40"/>
            </w:pPr>
            <w:r>
              <w:rPr>
                <w:b/>
                <w:color w:val="1D4066"/>
                <w:sz w:val="17"/>
              </w:rPr>
              <w:t>代表工作</w:t>
            </w:r>
          </w:p>
        </w:tc>
        <w:tc>
          <w:tcPr>
            <w:tcW w:type="dxa" w:w="1870"/>
            <w:vAlign w:val="center"/>
          </w:tcPr>
          <w:p>
            <w:pPr>
              <w:spacing w:after="40" w:before="40"/>
            </w:pPr>
            <w:r>
              <w:rPr>
                <w:b/>
                <w:color w:val="1D4066"/>
                <w:sz w:val="17"/>
              </w:rPr>
              <w:t>出处/年份</w:t>
            </w:r>
          </w:p>
        </w:tc>
        <w:tc>
          <w:tcPr>
            <w:tcW w:type="dxa" w:w="1870"/>
            <w:vAlign w:val="center"/>
          </w:tcPr>
          <w:p>
            <w:pPr>
              <w:spacing w:after="40" w:before="40"/>
            </w:pPr>
            <w:r>
              <w:rPr>
                <w:b/>
                <w:color w:val="1D4066"/>
                <w:sz w:val="17"/>
              </w:rPr>
              <w:t>公开报告的规模或成果</w:t>
            </w:r>
          </w:p>
        </w:tc>
        <w:tc>
          <w:tcPr>
            <w:tcW w:type="dxa" w:w="1870"/>
            <w:vAlign w:val="center"/>
          </w:tcPr>
          <w:p>
            <w:pPr>
              <w:spacing w:after="40" w:before="40"/>
            </w:pPr>
            <w:r>
              <w:rPr>
                <w:b/>
                <w:color w:val="1D4066"/>
                <w:sz w:val="17"/>
              </w:rPr>
              <w:t>核心贡献</w:t>
            </w:r>
          </w:p>
        </w:tc>
        <w:tc>
          <w:tcPr>
            <w:tcW w:type="dxa" w:w="1870"/>
            <w:vAlign w:val="center"/>
          </w:tcPr>
          <w:p>
            <w:pPr>
              <w:spacing w:after="40" w:before="40"/>
            </w:pPr>
            <w:r>
              <w:rPr>
                <w:b/>
                <w:color w:val="1D4066"/>
                <w:sz w:val="17"/>
              </w:rPr>
              <w:t>本课题的区别</w:t>
            </w:r>
          </w:p>
        </w:tc>
      </w:tr>
      <w:tr>
        <w:tc>
          <w:tcPr>
            <w:tcW w:type="dxa" w:w="1870"/>
            <w:vAlign w:val="center"/>
          </w:tcPr>
          <w:p>
            <w:pPr>
              <w:spacing w:after="40" w:before="40"/>
            </w:pPr>
            <w:r>
              <w:rPr>
                <w:sz w:val="17"/>
              </w:rPr>
              <w:t>PanDerm</w:t>
            </w:r>
          </w:p>
        </w:tc>
        <w:tc>
          <w:tcPr>
            <w:tcW w:type="dxa" w:w="1870"/>
            <w:vAlign w:val="center"/>
          </w:tcPr>
          <w:p>
            <w:pPr>
              <w:spacing w:after="40" w:before="40"/>
            </w:pPr>
            <w:r>
              <w:rPr>
                <w:sz w:val="17"/>
              </w:rPr>
              <w:t>Nature Medicine 2025</w:t>
            </w:r>
          </w:p>
        </w:tc>
        <w:tc>
          <w:tcPr>
            <w:tcW w:type="dxa" w:w="1870"/>
            <w:vAlign w:val="center"/>
          </w:tcPr>
          <w:p>
            <w:pPr>
              <w:spacing w:after="40" w:before="40"/>
            </w:pPr>
            <w:r>
              <w:rPr>
                <w:sz w:val="17"/>
              </w:rPr>
              <w:t>超 200 万图像；11 家机构、4 模态、28 个基准；读者研究诊断准确率 0.69→0.80[3]</w:t>
            </w:r>
          </w:p>
        </w:tc>
        <w:tc>
          <w:tcPr>
            <w:tcW w:type="dxa" w:w="1870"/>
            <w:vAlign w:val="center"/>
          </w:tcPr>
          <w:p>
            <w:pPr>
              <w:spacing w:after="40" w:before="40"/>
            </w:pPr>
            <w:r>
              <w:rPr>
                <w:sz w:val="17"/>
              </w:rPr>
              <w:t>多任务、多模态大模型与临床辅助</w:t>
            </w:r>
          </w:p>
        </w:tc>
        <w:tc>
          <w:tcPr>
            <w:tcW w:type="dxa" w:w="1870"/>
            <w:vAlign w:val="center"/>
          </w:tcPr>
          <w:p>
            <w:pPr>
              <w:spacing w:after="40" w:before="40"/>
            </w:pPr>
            <w:r>
              <w:rPr>
                <w:sz w:val="17"/>
              </w:rPr>
              <w:t>我们研究概念可靠性及严格同病例/患者级跨域评估，而非追求模型规模</w:t>
            </w:r>
          </w:p>
        </w:tc>
      </w:tr>
      <w:tr>
        <w:tc>
          <w:tcPr>
            <w:tcW w:type="dxa" w:w="1870"/>
            <w:vAlign w:val="center"/>
          </w:tcPr>
          <w:p>
            <w:pPr>
              <w:spacing w:after="40" w:before="40"/>
            </w:pPr>
            <w:r>
              <w:rPr>
                <w:sz w:val="17"/>
              </w:rPr>
              <w:t>MONET</w:t>
            </w:r>
          </w:p>
        </w:tc>
        <w:tc>
          <w:tcPr>
            <w:tcW w:type="dxa" w:w="1870"/>
            <w:vAlign w:val="center"/>
          </w:tcPr>
          <w:p>
            <w:pPr>
              <w:spacing w:after="40" w:before="40"/>
            </w:pPr>
            <w:r>
              <w:rPr>
                <w:sz w:val="17"/>
              </w:rPr>
              <w:t>Nature Medicine 2024</w:t>
            </w:r>
          </w:p>
        </w:tc>
        <w:tc>
          <w:tcPr>
            <w:tcW w:type="dxa" w:w="1870"/>
            <w:vAlign w:val="center"/>
          </w:tcPr>
          <w:p>
            <w:pPr>
              <w:spacing w:after="40" w:before="40"/>
            </w:pPr>
            <w:r>
              <w:rPr>
                <w:sz w:val="17"/>
              </w:rPr>
              <w:t>105,550 个皮肤病图文样本[4]</w:t>
            </w:r>
          </w:p>
        </w:tc>
        <w:tc>
          <w:tcPr>
            <w:tcW w:type="dxa" w:w="1870"/>
            <w:vAlign w:val="center"/>
          </w:tcPr>
          <w:p>
            <w:pPr>
              <w:spacing w:after="40" w:before="40"/>
            </w:pPr>
            <w:r>
              <w:rPr>
                <w:sz w:val="17"/>
              </w:rPr>
              <w:t>通过图文模型生成密集医学概念评分，用于数据/模型审计</w:t>
            </w:r>
          </w:p>
        </w:tc>
        <w:tc>
          <w:tcPr>
            <w:tcW w:type="dxa" w:w="1870"/>
            <w:vAlign w:val="center"/>
          </w:tcPr>
          <w:p>
            <w:pPr>
              <w:spacing w:after="40" w:before="40"/>
            </w:pPr>
            <w:r>
              <w:rPr>
                <w:sz w:val="17"/>
              </w:rPr>
              <w:t>将其概念评分作为待验证信号，不直接视作临床真值</w:t>
            </w:r>
          </w:p>
        </w:tc>
      </w:tr>
      <w:tr>
        <w:tc>
          <w:tcPr>
            <w:tcW w:type="dxa" w:w="1870"/>
            <w:vAlign w:val="center"/>
          </w:tcPr>
          <w:p>
            <w:pPr>
              <w:spacing w:after="40" w:before="40"/>
            </w:pPr>
            <w:r>
              <w:rPr>
                <w:sz w:val="17"/>
              </w:rPr>
              <w:t>MAKE</w:t>
            </w:r>
          </w:p>
        </w:tc>
        <w:tc>
          <w:tcPr>
            <w:tcW w:type="dxa" w:w="1870"/>
            <w:vAlign w:val="center"/>
          </w:tcPr>
          <w:p>
            <w:pPr>
              <w:spacing w:after="40" w:before="40"/>
            </w:pPr>
            <w:r>
              <w:rPr>
                <w:sz w:val="17"/>
              </w:rPr>
              <w:t>MICCAI 2025</w:t>
            </w:r>
          </w:p>
        </w:tc>
        <w:tc>
          <w:tcPr>
            <w:tcW w:type="dxa" w:w="1870"/>
            <w:vAlign w:val="center"/>
          </w:tcPr>
          <w:p>
            <w:pPr>
              <w:spacing w:after="40" w:before="40"/>
            </w:pPr>
            <w:r>
              <w:rPr>
                <w:sz w:val="17"/>
              </w:rPr>
              <w:t>403,563 对皮肤病图文样本；评估分类、概念与检索[5]</w:t>
            </w:r>
          </w:p>
        </w:tc>
        <w:tc>
          <w:tcPr>
            <w:tcW w:type="dxa" w:w="1870"/>
            <w:vAlign w:val="center"/>
          </w:tcPr>
          <w:p>
            <w:pPr>
              <w:spacing w:after="40" w:before="40"/>
            </w:pPr>
            <w:r>
              <w:rPr>
                <w:sz w:val="17"/>
              </w:rPr>
              <w:t>多方面医学文本分解、细粒度对齐和诊断引导加权</w:t>
            </w:r>
          </w:p>
        </w:tc>
        <w:tc>
          <w:tcPr>
            <w:tcW w:type="dxa" w:w="1870"/>
            <w:vAlign w:val="center"/>
          </w:tcPr>
          <w:p>
            <w:pPr>
              <w:spacing w:after="40" w:before="40"/>
            </w:pPr>
            <w:r>
              <w:rPr>
                <w:sz w:val="17"/>
              </w:rPr>
              <w:t>重点检验概念在跨模态和跨采集域是否保持可靠</w:t>
            </w:r>
          </w:p>
        </w:tc>
      </w:tr>
      <w:tr>
        <w:tc>
          <w:tcPr>
            <w:tcW w:type="dxa" w:w="1870"/>
            <w:vAlign w:val="center"/>
          </w:tcPr>
          <w:p>
            <w:pPr>
              <w:spacing w:after="40" w:before="40"/>
            </w:pPr>
            <w:r>
              <w:rPr>
                <w:sz w:val="17"/>
              </w:rPr>
              <w:t>CoFiDA-M</w:t>
            </w:r>
          </w:p>
        </w:tc>
        <w:tc>
          <w:tcPr>
            <w:tcW w:type="dxa" w:w="1870"/>
            <w:vAlign w:val="center"/>
          </w:tcPr>
          <w:p>
            <w:pPr>
              <w:spacing w:after="40" w:before="40"/>
            </w:pPr>
            <w:r>
              <w:rPr>
                <w:sz w:val="17"/>
              </w:rPr>
              <w:t>CVPR 2026</w:t>
            </w:r>
          </w:p>
        </w:tc>
        <w:tc>
          <w:tcPr>
            <w:tcW w:type="dxa" w:w="1870"/>
            <w:vAlign w:val="center"/>
          </w:tcPr>
          <w:p>
            <w:pPr>
              <w:spacing w:after="40" w:before="40"/>
            </w:pPr>
            <w:r>
              <w:rPr>
                <w:sz w:val="17"/>
              </w:rPr>
              <w:t>6 个未见域数据集；报告域外 AUROC 与黑色素瘤召回改善[6]</w:t>
            </w:r>
          </w:p>
        </w:tc>
        <w:tc>
          <w:tcPr>
            <w:tcW w:type="dxa" w:w="1870"/>
            <w:vAlign w:val="center"/>
          </w:tcPr>
          <w:p>
            <w:pPr>
              <w:spacing w:after="40" w:before="40"/>
            </w:pPr>
            <w:r>
              <w:rPr>
                <w:sz w:val="17"/>
              </w:rPr>
              <w:t>MONET 概念教师+特征调制+仅图像推理学生</w:t>
            </w:r>
          </w:p>
        </w:tc>
        <w:tc>
          <w:tcPr>
            <w:tcW w:type="dxa" w:w="1870"/>
            <w:vAlign w:val="center"/>
          </w:tcPr>
          <w:p>
            <w:pPr>
              <w:spacing w:after="40" w:before="40"/>
            </w:pPr>
            <w:r>
              <w:rPr>
                <w:sz w:val="17"/>
              </w:rPr>
              <w:t>最直接相关前作；区别须通过可靠性度量、失效分析与无目标标签协议证明</w:t>
            </w:r>
          </w:p>
        </w:tc>
      </w:tr>
      <w:tr>
        <w:tc>
          <w:tcPr>
            <w:tcW w:type="dxa" w:w="1870"/>
            <w:vAlign w:val="center"/>
          </w:tcPr>
          <w:p>
            <w:pPr>
              <w:spacing w:after="40" w:before="40"/>
            </w:pPr>
            <w:r>
              <w:rPr>
                <w:sz w:val="17"/>
              </w:rPr>
              <w:t>CptAFT</w:t>
            </w:r>
          </w:p>
        </w:tc>
        <w:tc>
          <w:tcPr>
            <w:tcW w:type="dxa" w:w="1870"/>
            <w:vAlign w:val="center"/>
          </w:tcPr>
          <w:p>
            <w:pPr>
              <w:spacing w:after="40" w:before="40"/>
            </w:pPr>
            <w:r>
              <w:rPr>
                <w:sz w:val="17"/>
              </w:rPr>
              <w:t>IEEE JBHI 2026</w:t>
            </w:r>
          </w:p>
        </w:tc>
        <w:tc>
          <w:tcPr>
            <w:tcW w:type="dxa" w:w="1870"/>
            <w:vAlign w:val="center"/>
          </w:tcPr>
          <w:p>
            <w:pPr>
              <w:spacing w:after="40" w:before="40"/>
            </w:pPr>
            <w:r>
              <w:rPr>
                <w:sz w:val="17"/>
              </w:rPr>
              <w:t>论文报告其概念识别相较 MONET 有 8.28% 提升[7]</w:t>
            </w:r>
          </w:p>
        </w:tc>
        <w:tc>
          <w:tcPr>
            <w:tcW w:type="dxa" w:w="1870"/>
            <w:vAlign w:val="center"/>
          </w:tcPr>
          <w:p>
            <w:pPr>
              <w:spacing w:after="40" w:before="40"/>
            </w:pPr>
            <w:r>
              <w:rPr>
                <w:sz w:val="17"/>
              </w:rPr>
              <w:t>基于 BiomedCLIP 的概念自适应微调</w:t>
            </w:r>
          </w:p>
        </w:tc>
        <w:tc>
          <w:tcPr>
            <w:tcW w:type="dxa" w:w="1870"/>
            <w:vAlign w:val="center"/>
          </w:tcPr>
          <w:p>
            <w:pPr>
              <w:spacing w:after="40" w:before="40"/>
            </w:pPr>
            <w:r>
              <w:rPr>
                <w:sz w:val="17"/>
              </w:rPr>
              <w:t>概念识别增强≠跨域概念可信，需另做验证</w:t>
            </w:r>
          </w:p>
        </w:tc>
      </w:tr>
      <w:tr>
        <w:tc>
          <w:tcPr>
            <w:tcW w:type="dxa" w:w="1870"/>
            <w:vAlign w:val="center"/>
          </w:tcPr>
          <w:p>
            <w:pPr>
              <w:spacing w:after="40" w:before="40"/>
            </w:pPr>
            <w:r>
              <w:rPr>
                <w:sz w:val="17"/>
              </w:rPr>
              <w:t>ISIC 2024 / TBP</w:t>
            </w:r>
          </w:p>
        </w:tc>
        <w:tc>
          <w:tcPr>
            <w:tcW w:type="dxa" w:w="1870"/>
            <w:vAlign w:val="center"/>
          </w:tcPr>
          <w:p>
            <w:pPr>
              <w:spacing w:after="40" w:before="40"/>
            </w:pPr>
            <w:r>
              <w:rPr>
                <w:sz w:val="17"/>
              </w:rPr>
              <w:t>npj Digital Medicine 2025</w:t>
            </w:r>
          </w:p>
        </w:tc>
        <w:tc>
          <w:tcPr>
            <w:tcW w:type="dxa" w:w="1870"/>
            <w:vAlign w:val="center"/>
          </w:tcPr>
          <w:p>
            <w:pPr>
              <w:spacing w:after="40" w:before="40"/>
            </w:pPr>
            <w:r>
              <w:rPr>
                <w:sz w:val="17"/>
              </w:rPr>
              <w:t>私有评测 370,704 个病灶、935 名患者；主要指标是高敏感度区间 pAUC[8]</w:t>
            </w:r>
          </w:p>
        </w:tc>
        <w:tc>
          <w:tcPr>
            <w:tcW w:type="dxa" w:w="1870"/>
            <w:vAlign w:val="center"/>
          </w:tcPr>
          <w:p>
            <w:pPr>
              <w:spacing w:after="40" w:before="40"/>
            </w:pPr>
            <w:r>
              <w:rPr>
                <w:sz w:val="17"/>
              </w:rPr>
              <w:t>大规模真实分布和高敏感度筛查评估</w:t>
            </w:r>
          </w:p>
        </w:tc>
        <w:tc>
          <w:tcPr>
            <w:tcW w:type="dxa" w:w="1870"/>
            <w:vAlign w:val="center"/>
          </w:tcPr>
          <w:p>
            <w:pPr>
              <w:spacing w:after="40" w:before="40"/>
            </w:pPr>
            <w:r>
              <w:rPr>
                <w:sz w:val="17"/>
              </w:rPr>
              <w:t>指导临床阈值与不平衡分析，但与本课题任务、单位不同</w:t>
            </w:r>
          </w:p>
        </w:tc>
      </w:tr>
    </w:tbl>
    <w:p>
      <w:pPr>
        <w:spacing w:after="20"/>
      </w:pPr>
    </w:p>
    <w:p>
      <w:r>
        <w:t>重要说明：以上规模、准确率提升、概念识别提升、pAUC 与本研究未来的 AUROC 不属于同一可直接比较的指标。现阶段不能给出“全球排名”或跨论文统一 SOTA 结论。若要形成正式性能排行榜，必须补齐相同目标定义、训练集、划分、推理模式和评测粒度。</w:t>
      </w:r>
    </w:p>
    <w:p>
      <w:pPr>
        <w:pStyle w:val="Heading1"/>
      </w:pPr>
      <w:r>
        <w:t>4. 国际研究的主要痛点与研究缺口</w:t>
      </w:r>
    </w:p>
    <w:tbl>
      <w:tblPr>
        <w:tblStyle w:val="LightShading-Accent1"/>
        <w:tblW w:type="auto" w:w="0"/>
        <w:jc w:val="center"/>
        <w:tblLook w:firstColumn="1" w:firstRow="1" w:lastColumn="0" w:lastRow="0" w:noHBand="0" w:noVBand="1" w:val="04A0"/>
      </w:tblPr>
      <w:tblGrid>
        <w:gridCol w:w="3116"/>
        <w:gridCol w:w="3116"/>
        <w:gridCol w:w="3116"/>
      </w:tblGrid>
      <w:tr>
        <w:tc>
          <w:tcPr>
            <w:tcW w:type="dxa" w:w="3116"/>
            <w:vAlign w:val="center"/>
          </w:tcPr>
          <w:p>
            <w:pPr>
              <w:spacing w:after="40" w:before="40"/>
            </w:pPr>
            <w:r>
              <w:rPr>
                <w:b/>
                <w:color w:val="1D4066"/>
                <w:sz w:val="17"/>
              </w:rPr>
              <w:t>痛点</w:t>
            </w:r>
          </w:p>
        </w:tc>
        <w:tc>
          <w:tcPr>
            <w:tcW w:type="dxa" w:w="3116"/>
            <w:vAlign w:val="center"/>
          </w:tcPr>
          <w:p>
            <w:pPr>
              <w:spacing w:after="40" w:before="40"/>
            </w:pPr>
            <w:r>
              <w:rPr>
                <w:b/>
                <w:color w:val="1D4066"/>
                <w:sz w:val="17"/>
              </w:rPr>
              <w:t>具体风险</w:t>
            </w:r>
          </w:p>
        </w:tc>
        <w:tc>
          <w:tcPr>
            <w:tcW w:type="dxa" w:w="3116"/>
            <w:vAlign w:val="center"/>
          </w:tcPr>
          <w:p>
            <w:pPr>
              <w:spacing w:after="40" w:before="40"/>
            </w:pPr>
            <w:r>
              <w:rPr>
                <w:b/>
                <w:color w:val="1D4066"/>
                <w:sz w:val="17"/>
              </w:rPr>
              <w:t>本项目拟提供的证据</w:t>
            </w:r>
          </w:p>
        </w:tc>
      </w:tr>
      <w:tr>
        <w:tc>
          <w:tcPr>
            <w:tcW w:type="dxa" w:w="3116"/>
            <w:vAlign w:val="center"/>
          </w:tcPr>
          <w:p>
            <w:pPr>
              <w:spacing w:after="40" w:before="40"/>
            </w:pPr>
            <w:r>
              <w:rPr>
                <w:sz w:val="17"/>
              </w:rPr>
              <w:t>模态/采集域偏移</w:t>
            </w:r>
          </w:p>
        </w:tc>
        <w:tc>
          <w:tcPr>
            <w:tcW w:type="dxa" w:w="3116"/>
            <w:vAlign w:val="center"/>
          </w:tcPr>
          <w:p>
            <w:pPr>
              <w:spacing w:after="40" w:before="40"/>
            </w:pPr>
            <w:r>
              <w:rPr>
                <w:sz w:val="17"/>
              </w:rPr>
              <w:t>皮肤镜高分无法直接代表手机临床照片高分</w:t>
            </w:r>
          </w:p>
        </w:tc>
        <w:tc>
          <w:tcPr>
            <w:tcW w:type="dxa" w:w="3116"/>
            <w:vAlign w:val="center"/>
          </w:tcPr>
          <w:p>
            <w:pPr>
              <w:spacing w:after="40" w:before="40"/>
            </w:pPr>
            <w:r>
              <w:rPr>
                <w:sz w:val="17"/>
              </w:rPr>
              <w:t>A→B 与 A→C/B→C 分别隔离模态和跨数据集现象</w:t>
            </w:r>
          </w:p>
        </w:tc>
      </w:tr>
      <w:tr>
        <w:tc>
          <w:tcPr>
            <w:tcW w:type="dxa" w:w="3116"/>
            <w:vAlign w:val="center"/>
          </w:tcPr>
          <w:p>
            <w:pPr>
              <w:spacing w:after="40" w:before="40"/>
            </w:pPr>
            <w:r>
              <w:rPr>
                <w:sz w:val="17"/>
              </w:rPr>
              <w:t>解释并不等于正确</w:t>
            </w:r>
          </w:p>
        </w:tc>
        <w:tc>
          <w:tcPr>
            <w:tcW w:type="dxa" w:w="3116"/>
            <w:vAlign w:val="center"/>
          </w:tcPr>
          <w:p>
            <w:pPr>
              <w:spacing w:after="40" w:before="40"/>
            </w:pPr>
            <w:r>
              <w:rPr>
                <w:sz w:val="17"/>
              </w:rPr>
              <w:t>模型给出医学概念可能只是语言对齐分数，未必可重复观察</w:t>
            </w:r>
          </w:p>
        </w:tc>
        <w:tc>
          <w:tcPr>
            <w:tcW w:type="dxa" w:w="3116"/>
            <w:vAlign w:val="center"/>
          </w:tcPr>
          <w:p>
            <w:pPr>
              <w:spacing w:after="40" w:before="40"/>
            </w:pPr>
            <w:r>
              <w:rPr>
                <w:sz w:val="17"/>
              </w:rPr>
              <w:t>Derm7pt 概念 GT、标签映射与误差分析</w:t>
            </w:r>
          </w:p>
        </w:tc>
      </w:tr>
      <w:tr>
        <w:tc>
          <w:tcPr>
            <w:tcW w:type="dxa" w:w="3116"/>
            <w:vAlign w:val="center"/>
          </w:tcPr>
          <w:p>
            <w:pPr>
              <w:spacing w:after="40" w:before="40"/>
            </w:pPr>
            <w:r>
              <w:rPr>
                <w:sz w:val="17"/>
              </w:rPr>
              <w:t>重复病例泄漏</w:t>
            </w:r>
          </w:p>
        </w:tc>
        <w:tc>
          <w:tcPr>
            <w:tcW w:type="dxa" w:w="3116"/>
            <w:vAlign w:val="center"/>
          </w:tcPr>
          <w:p>
            <w:pPr>
              <w:spacing w:after="40" w:before="40"/>
            </w:pPr>
            <w:r>
              <w:rPr>
                <w:sz w:val="17"/>
              </w:rPr>
              <w:t>同人/同病灶图像跨 split 或统计独立性被高估</w:t>
            </w:r>
          </w:p>
        </w:tc>
        <w:tc>
          <w:tcPr>
            <w:tcW w:type="dxa" w:w="3116"/>
            <w:vAlign w:val="center"/>
          </w:tcPr>
          <w:p>
            <w:pPr>
              <w:spacing w:after="40" w:before="40"/>
            </w:pPr>
            <w:r>
              <w:rPr>
                <w:sz w:val="17"/>
              </w:rPr>
              <w:t>Derm7pt 重复图引用检查；PAD patient-cluster bootstrap</w:t>
            </w:r>
          </w:p>
        </w:tc>
      </w:tr>
      <w:tr>
        <w:tc>
          <w:tcPr>
            <w:tcW w:type="dxa" w:w="3116"/>
            <w:vAlign w:val="center"/>
          </w:tcPr>
          <w:p>
            <w:pPr>
              <w:spacing w:after="40" w:before="40"/>
            </w:pPr>
            <w:r>
              <w:rPr>
                <w:sz w:val="17"/>
              </w:rPr>
              <w:t>极端患病率偏移</w:t>
            </w:r>
          </w:p>
        </w:tc>
        <w:tc>
          <w:tcPr>
            <w:tcW w:type="dxa" w:w="3116"/>
            <w:vAlign w:val="center"/>
          </w:tcPr>
          <w:p>
            <w:pPr>
              <w:spacing w:after="40" w:before="40"/>
            </w:pPr>
            <w:r>
              <w:rPr>
                <w:sz w:val="17"/>
              </w:rPr>
              <w:t>跨域 AP 可能因 prevalence 而变化，accuracy 易失真</w:t>
            </w:r>
          </w:p>
        </w:tc>
        <w:tc>
          <w:tcPr>
            <w:tcW w:type="dxa" w:w="3116"/>
            <w:vAlign w:val="center"/>
          </w:tcPr>
          <w:p>
            <w:pPr>
              <w:spacing w:after="40" w:before="40"/>
            </w:pPr>
            <w:r>
              <w:rPr>
                <w:sz w:val="17"/>
              </w:rPr>
              <w:t>统一 AUROC、AUPRC、敏感度、特异度并标注随机 AP 基线</w:t>
            </w:r>
          </w:p>
        </w:tc>
      </w:tr>
      <w:tr>
        <w:tc>
          <w:tcPr>
            <w:tcW w:type="dxa" w:w="3116"/>
            <w:vAlign w:val="center"/>
          </w:tcPr>
          <w:p>
            <w:pPr>
              <w:spacing w:after="40" w:before="40"/>
            </w:pPr>
            <w:r>
              <w:rPr>
                <w:sz w:val="17"/>
              </w:rPr>
              <w:t>阈值泄漏与目标域调参</w:t>
            </w:r>
          </w:p>
        </w:tc>
        <w:tc>
          <w:tcPr>
            <w:tcW w:type="dxa" w:w="3116"/>
            <w:vAlign w:val="center"/>
          </w:tcPr>
          <w:p>
            <w:pPr>
              <w:spacing w:after="40" w:before="40"/>
            </w:pPr>
            <w:r>
              <w:rPr>
                <w:sz w:val="17"/>
              </w:rPr>
              <w:t>外部测试集用于选择阈值使性能被高估</w:t>
            </w:r>
          </w:p>
        </w:tc>
        <w:tc>
          <w:tcPr>
            <w:tcW w:type="dxa" w:w="3116"/>
            <w:vAlign w:val="center"/>
          </w:tcPr>
          <w:p>
            <w:pPr>
              <w:spacing w:after="40" w:before="40"/>
            </w:pPr>
            <w:r>
              <w:rPr>
                <w:sz w:val="17"/>
              </w:rPr>
              <w:t>source validation only 的 checkpoint/阈值选择</w:t>
            </w:r>
          </w:p>
        </w:tc>
      </w:tr>
      <w:tr>
        <w:tc>
          <w:tcPr>
            <w:tcW w:type="dxa" w:w="3116"/>
            <w:vAlign w:val="center"/>
          </w:tcPr>
          <w:p>
            <w:pPr>
              <w:spacing w:after="40" w:before="40"/>
            </w:pPr>
            <w:r>
              <w:rPr>
                <w:sz w:val="17"/>
              </w:rPr>
              <w:t>肤色/医疗数据代表性</w:t>
            </w:r>
          </w:p>
        </w:tc>
        <w:tc>
          <w:tcPr>
            <w:tcW w:type="dxa" w:w="3116"/>
            <w:vAlign w:val="center"/>
          </w:tcPr>
          <w:p>
            <w:pPr>
              <w:spacing w:after="40" w:before="40"/>
            </w:pPr>
            <w:r>
              <w:rPr>
                <w:sz w:val="17"/>
              </w:rPr>
              <w:t>公开集人群和获取条件偏窄，影响公平性</w:t>
            </w:r>
          </w:p>
        </w:tc>
        <w:tc>
          <w:tcPr>
            <w:tcW w:type="dxa" w:w="3116"/>
            <w:vAlign w:val="center"/>
          </w:tcPr>
          <w:p>
            <w:pPr>
              <w:spacing w:after="40" w:before="40"/>
            </w:pPr>
            <w:r>
              <w:rPr>
                <w:sz w:val="17"/>
              </w:rPr>
              <w:t>当有可靠子群规模时补充肤色/年龄/部位分层；不宣称普适</w:t>
            </w:r>
          </w:p>
        </w:tc>
      </w:tr>
      <w:tr>
        <w:tc>
          <w:tcPr>
            <w:tcW w:type="dxa" w:w="3116"/>
            <w:vAlign w:val="center"/>
          </w:tcPr>
          <w:p>
            <w:pPr>
              <w:spacing w:after="40" w:before="40"/>
            </w:pPr>
            <w:r>
              <w:rPr>
                <w:sz w:val="17"/>
              </w:rPr>
              <w:t>实验无法独立复现</w:t>
            </w:r>
          </w:p>
        </w:tc>
        <w:tc>
          <w:tcPr>
            <w:tcW w:type="dxa" w:w="3116"/>
            <w:vAlign w:val="center"/>
          </w:tcPr>
          <w:p>
            <w:pPr>
              <w:spacing w:after="40" w:before="40"/>
            </w:pPr>
            <w:r>
              <w:rPr>
                <w:sz w:val="17"/>
              </w:rPr>
              <w:t>缺少模型权重版本、代码 commit、配置及失败记录</w:t>
            </w:r>
          </w:p>
        </w:tc>
        <w:tc>
          <w:tcPr>
            <w:tcW w:type="dxa" w:w="3116"/>
            <w:vAlign w:val="center"/>
          </w:tcPr>
          <w:p>
            <w:pPr>
              <w:spacing w:after="40" w:before="40"/>
            </w:pPr>
            <w:r>
              <w:rPr>
                <w:sz w:val="17"/>
              </w:rPr>
              <w:t>不可变 run ID、审计哈希、配置与汇总指标追踪</w:t>
            </w:r>
          </w:p>
        </w:tc>
      </w:tr>
    </w:tbl>
    <w:p>
      <w:pPr>
        <w:spacing w:after="20"/>
      </w:pPr>
    </w:p>
    <w:p>
      <w:r>
        <w:t>与 CoFiDA-M 的关系尤其需要谨慎：它已经明确提出概念辅助的皮肤镜→临床照片适配和 image-only inference。故本课题不能把“概念增强跨域泛化”本身作为未经区分的唯一创新；必须证明一种不同的问题定义、严谨的概念可靠性指标或可复现的增量方法。</w:t>
      </w:r>
    </w:p>
    <w:p>
      <w:pPr>
        <w:pStyle w:val="Heading1"/>
      </w:pPr>
      <w:r>
        <w:t>5. 项目解决方案和候选创新点</w:t>
      </w:r>
    </w:p>
    <w:p>
      <w:r>
        <w:t>总体路线：先建立无目标域标签泄漏的跨域诊断基准，再审查概念是否正确、稳定和具有实际诊断价值，最后依据已观察到的失败机制设计可靠性感知方案。</w:t>
      </w:r>
    </w:p>
    <w:p>
      <w:r>
        <w:t>拟创新点一（评估贡献）：构建同病例多模态与独立外部患者两层评测协议，分别报告跨模态性能变化、跨数据集性能变化及其置信区间。</w:t>
      </w:r>
    </w:p>
    <w:p>
      <w:r>
        <w:t>拟创新点二（医学概念贡献）：对七点清单概念逐项定义“概念真值一致性—配对视图一致性—预测置信度—诊断贡献”的可靠性画像，量化高置信错误概念与漏诊之间的关系。</w:t>
      </w:r>
    </w:p>
    <w:p>
      <w:r>
        <w:t>拟创新点三（可选方法贡献）：如果可靠性指标确实能够预测失败，则尝试可靠性门控、概念不确定性加权或择机退回纯视觉诊断，验证是否改善域外性能和校准。</w:t>
      </w:r>
    </w:p>
    <w:p>
      <w:r>
        <w:t>上述均为研究假设而非既成创新成果。尤其七点清单是皮肤镜诊断概念；Derm7pt 临床照片不必然可观测相同特征，不能将皮肤镜提供的概念标注直接解释为普通临床照片上的可见概念真值。对 B 域的概念评价需要另行给出可观测性说明或专家复核。PAD 缺少同构概念 GT，禁止报告其“概念预测准确率”。</w:t>
      </w:r>
    </w:p>
    <w:p>
      <w:pPr>
        <w:pStyle w:val="Heading1"/>
      </w:pPr>
      <w:r>
        <w:t>6. 已完成工作：Data Audit v0.1</w:t>
      </w:r>
    </w:p>
    <w:p>
      <w:r>
        <w:t>已确认的工程事实（来源：项目 GitHub 审计报告，commit 0bd3624，2026-10-08）：</w:t>
      </w:r>
    </w:p>
    <w:tbl>
      <w:tblPr>
        <w:tblStyle w:val="LightShading-Accent1"/>
        <w:tblW w:type="auto" w:w="0"/>
        <w:jc w:val="center"/>
        <w:tblLook w:firstColumn="1" w:firstRow="1" w:lastColumn="0" w:lastRow="0" w:noHBand="0" w:noVBand="1" w:val="04A0"/>
      </w:tblPr>
      <w:tblGrid>
        <w:gridCol w:w="3116"/>
        <w:gridCol w:w="3116"/>
        <w:gridCol w:w="3116"/>
      </w:tblGrid>
      <w:tr>
        <w:tc>
          <w:tcPr>
            <w:tcW w:type="dxa" w:w="3116"/>
            <w:vAlign w:val="center"/>
          </w:tcPr>
          <w:p>
            <w:pPr>
              <w:spacing w:after="40" w:before="40"/>
            </w:pPr>
            <w:r>
              <w:rPr>
                <w:b/>
                <w:color w:val="1D4066"/>
                <w:sz w:val="17"/>
              </w:rPr>
              <w:t>审计项</w:t>
            </w:r>
          </w:p>
        </w:tc>
        <w:tc>
          <w:tcPr>
            <w:tcW w:type="dxa" w:w="3116"/>
            <w:vAlign w:val="center"/>
          </w:tcPr>
          <w:p>
            <w:pPr>
              <w:spacing w:after="40" w:before="40"/>
            </w:pPr>
            <w:r>
              <w:rPr>
                <w:b/>
                <w:color w:val="1D4066"/>
                <w:sz w:val="17"/>
              </w:rPr>
              <w:t>Derm7pt</w:t>
            </w:r>
          </w:p>
        </w:tc>
        <w:tc>
          <w:tcPr>
            <w:tcW w:type="dxa" w:w="3116"/>
            <w:vAlign w:val="center"/>
          </w:tcPr>
          <w:p>
            <w:pPr>
              <w:spacing w:after="40" w:before="40"/>
            </w:pPr>
            <w:r>
              <w:rPr>
                <w:b/>
                <w:color w:val="1D4066"/>
                <w:sz w:val="17"/>
              </w:rPr>
              <w:t>PAD-UFES-20</w:t>
            </w:r>
          </w:p>
        </w:tc>
      </w:tr>
      <w:tr>
        <w:tc>
          <w:tcPr>
            <w:tcW w:type="dxa" w:w="3116"/>
            <w:vAlign w:val="center"/>
          </w:tcPr>
          <w:p>
            <w:pPr>
              <w:spacing w:after="40" w:before="40"/>
            </w:pPr>
            <w:r>
              <w:rPr>
                <w:sz w:val="17"/>
              </w:rPr>
              <w:t>数据单位</w:t>
            </w:r>
          </w:p>
        </w:tc>
        <w:tc>
          <w:tcPr>
            <w:tcW w:type="dxa" w:w="3116"/>
            <w:vAlign w:val="center"/>
          </w:tcPr>
          <w:p>
            <w:pPr>
              <w:spacing w:after="40" w:before="40"/>
            </w:pPr>
            <w:r>
              <w:rPr>
                <w:sz w:val="17"/>
              </w:rPr>
              <w:t>1,011 病例；每病例临床+皮肤镜引用</w:t>
            </w:r>
          </w:p>
        </w:tc>
        <w:tc>
          <w:tcPr>
            <w:tcW w:type="dxa" w:w="3116"/>
            <w:vAlign w:val="center"/>
          </w:tcPr>
          <w:p>
            <w:pPr>
              <w:spacing w:after="40" w:before="40"/>
            </w:pPr>
            <w:r>
              <w:rPr>
                <w:sz w:val="17"/>
              </w:rPr>
              <w:t>2,298 图像；1,641 病灶；1,373 患者</w:t>
            </w:r>
          </w:p>
        </w:tc>
      </w:tr>
      <w:tr>
        <w:tc>
          <w:tcPr>
            <w:tcW w:type="dxa" w:w="3116"/>
            <w:vAlign w:val="center"/>
          </w:tcPr>
          <w:p>
            <w:pPr>
              <w:spacing w:after="40" w:before="40"/>
            </w:pPr>
            <w:r>
              <w:rPr>
                <w:sz w:val="17"/>
              </w:rPr>
              <w:t>图像文件</w:t>
            </w:r>
          </w:p>
        </w:tc>
        <w:tc>
          <w:tcPr>
            <w:tcW w:type="dxa" w:w="3116"/>
            <w:vAlign w:val="center"/>
          </w:tcPr>
          <w:p>
            <w:pPr>
              <w:spacing w:after="40" w:before="40"/>
            </w:pPr>
            <w:r>
              <w:rPr>
                <w:sz w:val="17"/>
              </w:rPr>
              <w:t>2,013 个独立引用文件</w:t>
            </w:r>
          </w:p>
        </w:tc>
        <w:tc>
          <w:tcPr>
            <w:tcW w:type="dxa" w:w="3116"/>
            <w:vAlign w:val="center"/>
          </w:tcPr>
          <w:p>
            <w:pPr>
              <w:spacing w:after="40" w:before="40"/>
            </w:pPr>
            <w:r>
              <w:rPr>
                <w:sz w:val="17"/>
              </w:rPr>
              <w:t>2,298 个图像文件</w:t>
            </w:r>
          </w:p>
        </w:tc>
      </w:tr>
      <w:tr>
        <w:tc>
          <w:tcPr>
            <w:tcW w:type="dxa" w:w="3116"/>
            <w:vAlign w:val="center"/>
          </w:tcPr>
          <w:p>
            <w:pPr>
              <w:spacing w:after="40" w:before="40"/>
            </w:pPr>
            <w:r>
              <w:rPr>
                <w:sz w:val="17"/>
              </w:rPr>
              <w:t>Melanoma / Non-melanoma</w:t>
            </w:r>
          </w:p>
        </w:tc>
        <w:tc>
          <w:tcPr>
            <w:tcW w:type="dxa" w:w="3116"/>
            <w:vAlign w:val="center"/>
          </w:tcPr>
          <w:p>
            <w:pPr>
              <w:spacing w:after="40" w:before="40"/>
            </w:pPr>
            <w:r>
              <w:rPr>
                <w:sz w:val="17"/>
              </w:rPr>
              <w:t>252 / 759（24.93%）</w:t>
            </w:r>
          </w:p>
        </w:tc>
        <w:tc>
          <w:tcPr>
            <w:tcW w:type="dxa" w:w="3116"/>
            <w:vAlign w:val="center"/>
          </w:tcPr>
          <w:p>
            <w:pPr>
              <w:spacing w:after="40" w:before="40"/>
            </w:pPr>
            <w:r>
              <w:rPr>
                <w:sz w:val="17"/>
              </w:rPr>
              <w:t>52 / 2,246（2.26%）</w:t>
            </w:r>
          </w:p>
        </w:tc>
      </w:tr>
      <w:tr>
        <w:tc>
          <w:tcPr>
            <w:tcW w:type="dxa" w:w="3116"/>
            <w:vAlign w:val="center"/>
          </w:tcPr>
          <w:p>
            <w:pPr>
              <w:spacing w:after="40" w:before="40"/>
            </w:pPr>
            <w:r>
              <w:rPr>
                <w:sz w:val="17"/>
              </w:rPr>
              <w:t>引用完整性</w:t>
            </w:r>
          </w:p>
        </w:tc>
        <w:tc>
          <w:tcPr>
            <w:tcW w:type="dxa" w:w="3116"/>
            <w:vAlign w:val="center"/>
          </w:tcPr>
          <w:p>
            <w:pPr>
              <w:spacing w:after="40" w:before="40"/>
            </w:pPr>
            <w:r>
              <w:rPr>
                <w:sz w:val="17"/>
              </w:rPr>
              <w:t>无缺失、无未引用；重复引用超额 9</w:t>
            </w:r>
          </w:p>
        </w:tc>
        <w:tc>
          <w:tcPr>
            <w:tcW w:type="dxa" w:w="3116"/>
            <w:vAlign w:val="center"/>
          </w:tcPr>
          <w:p>
            <w:pPr>
              <w:spacing w:after="40" w:before="40"/>
            </w:pPr>
            <w:r>
              <w:rPr>
                <w:sz w:val="17"/>
              </w:rPr>
              <w:t>无缺失、无未引用；图像 ID 无重复</w:t>
            </w:r>
          </w:p>
        </w:tc>
      </w:tr>
      <w:tr>
        <w:tc>
          <w:tcPr>
            <w:tcW w:type="dxa" w:w="3116"/>
            <w:vAlign w:val="center"/>
          </w:tcPr>
          <w:p>
            <w:pPr>
              <w:spacing w:after="40" w:before="40"/>
            </w:pPr>
            <w:r>
              <w:rPr>
                <w:sz w:val="17"/>
              </w:rPr>
              <w:t>划分/独立性</w:t>
            </w:r>
          </w:p>
        </w:tc>
        <w:tc>
          <w:tcPr>
            <w:tcW w:type="dxa" w:w="3116"/>
            <w:vAlign w:val="center"/>
          </w:tcPr>
          <w:p>
            <w:pPr>
              <w:spacing w:after="40" w:before="40"/>
            </w:pPr>
            <w:r>
              <w:rPr>
                <w:sz w:val="17"/>
              </w:rPr>
              <w:t>官方 413/203/395 完整性通过</w:t>
            </w:r>
          </w:p>
        </w:tc>
        <w:tc>
          <w:tcPr>
            <w:tcW w:type="dxa" w:w="3116"/>
            <w:vAlign w:val="center"/>
          </w:tcPr>
          <w:p>
            <w:pPr>
              <w:spacing w:after="40" w:before="40"/>
            </w:pPr>
            <w:r>
              <w:rPr>
                <w:sz w:val="17"/>
              </w:rPr>
              <w:t>544 患者与 512 病灶各对应多图</w:t>
            </w:r>
          </w:p>
        </w:tc>
      </w:tr>
      <w:tr>
        <w:tc>
          <w:tcPr>
            <w:tcW w:type="dxa" w:w="3116"/>
            <w:vAlign w:val="center"/>
          </w:tcPr>
          <w:p>
            <w:pPr>
              <w:spacing w:after="40" w:before="40"/>
            </w:pPr>
            <w:r>
              <w:rPr>
                <w:sz w:val="17"/>
              </w:rPr>
              <w:t>额外风险</w:t>
            </w:r>
          </w:p>
        </w:tc>
        <w:tc>
          <w:tcPr>
            <w:tcW w:type="dxa" w:w="3116"/>
            <w:vAlign w:val="center"/>
          </w:tcPr>
          <w:p>
            <w:pPr>
              <w:spacing w:after="40" w:before="40"/>
            </w:pPr>
            <w:r>
              <w:rPr>
                <w:sz w:val="17"/>
              </w:rPr>
              <w:t>需检查跨官方 split 的重复引用泄漏</w:t>
            </w:r>
          </w:p>
        </w:tc>
        <w:tc>
          <w:tcPr>
            <w:tcW w:type="dxa" w:w="3116"/>
            <w:vAlign w:val="center"/>
          </w:tcPr>
          <w:p>
            <w:pPr>
              <w:spacing w:after="40" w:before="40"/>
            </w:pPr>
            <w:r>
              <w:rPr>
                <w:sz w:val="17"/>
              </w:rPr>
              <w:t>804 行在 11 个临床字段上共同缺失</w:t>
            </w:r>
          </w:p>
        </w:tc>
      </w:tr>
    </w:tbl>
    <w:p>
      <w:pPr>
        <w:spacing w:after="20"/>
      </w:pPr>
    </w:p>
    <w:p>
      <w:pPr>
        <w:jc w:val="center"/>
      </w:pPr>
      <w:r>
        <w:drawing>
          <wp:inline xmlns:a="http://schemas.openxmlformats.org/drawingml/2006/main" xmlns:pic="http://schemas.openxmlformats.org/drawingml/2006/picture">
            <wp:extent cx="5508000" cy="1745760"/>
            <wp:docPr id="1" name="Picture 1"/>
            <wp:cNvGraphicFramePr>
              <a:graphicFrameLocks noChangeAspect="1"/>
            </wp:cNvGraphicFramePr>
            <a:graphic>
              <a:graphicData uri="http://schemas.openxmlformats.org/drawingml/2006/picture">
                <pic:pic>
                  <pic:nvPicPr>
                    <pic:cNvPr id="0" name="audited_cohorts.png"/>
                    <pic:cNvPicPr/>
                  </pic:nvPicPr>
                  <pic:blipFill>
                    <a:blip r:embed="rId11"/>
                    <a:stretch>
                      <a:fillRect/>
                    </a:stretch>
                  </pic:blipFill>
                  <pic:spPr>
                    <a:xfrm>
                      <a:off x="0" y="0"/>
                      <a:ext cx="5508000" cy="1745760"/>
                    </a:xfrm>
                    <a:prstGeom prst="rect"/>
                  </pic:spPr>
                </pic:pic>
              </a:graphicData>
            </a:graphic>
          </wp:inline>
        </w:drawing>
      </w:r>
    </w:p>
    <w:p>
      <w:pPr>
        <w:pStyle w:val="Caption"/>
        <w:jc w:val="center"/>
      </w:pPr>
      <w:r>
        <w:t>图 1  研究数据已核查的二分类组成；Derm7pt 为病例，PAD 为图像，横向数值不得误认为同一统计层级。</w:t>
      </w:r>
    </w:p>
    <w:p>
      <w:r>
        <w:t>已经完成：版本化疾病标签映射、七项临床概念频次统计、图像/元数据匹配、官方划分完整性审计、结构性缺失统计（空单元格与 UNK 分开处理）、13 项审计产物一致性检查、29 项自动化测试及 GitHub 分支推送。最新分支 research/data-audit-v0.1，commit 0bd3624。</w:t>
      </w:r>
    </w:p>
    <w:p>
      <w:r>
        <w:t>未完成：Protocol v0.1 工程落地、跨划分共享文件检测的正式训练门禁、ResNet50 训练、BiomedCLIP/MONET 对照、真实模型指标、服务器训练、统计置信区间及论文方法消融。不能用“Data Audit READY”替代“实验已通过验收”。</w:t>
      </w:r>
    </w:p>
    <w:p>
      <w:pPr>
        <w:pStyle w:val="Heading1"/>
      </w:pPr>
      <w:r>
        <w:t>7. 第一阶段实验 Protocol v0.1</w:t>
      </w:r>
    </w:p>
    <w:p>
      <w:pPr>
        <w:jc w:val="center"/>
      </w:pPr>
      <w:r>
        <w:drawing>
          <wp:inline xmlns:a="http://schemas.openxmlformats.org/drawingml/2006/main" xmlns:pic="http://schemas.openxmlformats.org/drawingml/2006/picture">
            <wp:extent cx="5508000" cy="1417963"/>
            <wp:docPr id="2" name="Picture 2"/>
            <wp:cNvGraphicFramePr>
              <a:graphicFrameLocks noChangeAspect="1"/>
            </wp:cNvGraphicFramePr>
            <a:graphic>
              <a:graphicData uri="http://schemas.openxmlformats.org/drawingml/2006/picture">
                <pic:pic>
                  <pic:nvPicPr>
                    <pic:cNvPr id="0" name="domain_protocol.png"/>
                    <pic:cNvPicPr/>
                  </pic:nvPicPr>
                  <pic:blipFill>
                    <a:blip r:embed="rId12"/>
                    <a:stretch>
                      <a:fillRect/>
                    </a:stretch>
                  </pic:blipFill>
                  <pic:spPr>
                    <a:xfrm>
                      <a:off x="0" y="0"/>
                      <a:ext cx="5508000" cy="1417963"/>
                    </a:xfrm>
                    <a:prstGeom prst="rect"/>
                  </pic:spPr>
                </pic:pic>
              </a:graphicData>
            </a:graphic>
          </wp:inline>
        </w:drawing>
      </w:r>
    </w:p>
    <w:p>
      <w:pPr>
        <w:pStyle w:val="Caption"/>
        <w:jc w:val="center"/>
      </w:pPr>
      <w:r>
        <w:t>图 2  A/B/C 域设置。A、B 源自同一 Derm7pt 病例集合；C 为 PAD 独立外部域。</w:t>
      </w:r>
    </w:p>
    <w:tbl>
      <w:tblPr>
        <w:tblStyle w:val="LightShading-Accent1"/>
        <w:tblW w:type="auto" w:w="0"/>
        <w:jc w:val="center"/>
        <w:tblLook w:firstColumn="1" w:firstRow="1" w:lastColumn="0" w:lastRow="0" w:noHBand="0" w:noVBand="1" w:val="04A0"/>
      </w:tblPr>
      <w:tblGrid>
        <w:gridCol w:w="1870"/>
        <w:gridCol w:w="1870"/>
        <w:gridCol w:w="1870"/>
        <w:gridCol w:w="1870"/>
        <w:gridCol w:w="1870"/>
      </w:tblGrid>
      <w:tr>
        <w:tc>
          <w:tcPr>
            <w:tcW w:type="dxa" w:w="1870"/>
            <w:vAlign w:val="center"/>
          </w:tcPr>
          <w:p>
            <w:pPr>
              <w:spacing w:after="40" w:before="40"/>
            </w:pPr>
            <w:r>
              <w:rPr>
                <w:b/>
                <w:color w:val="1D4066"/>
                <w:sz w:val="17"/>
              </w:rPr>
              <w:t>实验</w:t>
            </w:r>
          </w:p>
        </w:tc>
        <w:tc>
          <w:tcPr>
            <w:tcW w:type="dxa" w:w="1870"/>
            <w:vAlign w:val="center"/>
          </w:tcPr>
          <w:p>
            <w:pPr>
              <w:spacing w:after="40" w:before="40"/>
            </w:pPr>
            <w:r>
              <w:rPr>
                <w:b/>
                <w:color w:val="1D4066"/>
                <w:sz w:val="17"/>
              </w:rPr>
              <w:t>训练</w:t>
            </w:r>
          </w:p>
        </w:tc>
        <w:tc>
          <w:tcPr>
            <w:tcW w:type="dxa" w:w="1870"/>
            <w:vAlign w:val="center"/>
          </w:tcPr>
          <w:p>
            <w:pPr>
              <w:spacing w:after="40" w:before="40"/>
            </w:pPr>
            <w:r>
              <w:rPr>
                <w:b/>
                <w:color w:val="1D4066"/>
                <w:sz w:val="17"/>
              </w:rPr>
              <w:t>测试</w:t>
            </w:r>
          </w:p>
        </w:tc>
        <w:tc>
          <w:tcPr>
            <w:tcW w:type="dxa" w:w="1870"/>
            <w:vAlign w:val="center"/>
          </w:tcPr>
          <w:p>
            <w:pPr>
              <w:spacing w:after="40" w:before="40"/>
            </w:pPr>
            <w:r>
              <w:rPr>
                <w:b/>
                <w:color w:val="1D4066"/>
                <w:sz w:val="17"/>
              </w:rPr>
              <w:t>目的</w:t>
            </w:r>
          </w:p>
        </w:tc>
        <w:tc>
          <w:tcPr>
            <w:tcW w:type="dxa" w:w="1870"/>
            <w:vAlign w:val="center"/>
          </w:tcPr>
          <w:p>
            <w:pPr>
              <w:spacing w:after="40" w:before="40"/>
            </w:pPr>
            <w:r>
              <w:rPr>
                <w:b/>
                <w:color w:val="1D4066"/>
                <w:sz w:val="17"/>
              </w:rPr>
              <w:t>主要输出</w:t>
            </w:r>
          </w:p>
        </w:tc>
      </w:tr>
      <w:tr>
        <w:tc>
          <w:tcPr>
            <w:tcW w:type="dxa" w:w="1870"/>
            <w:vAlign w:val="center"/>
          </w:tcPr>
          <w:p>
            <w:pPr>
              <w:spacing w:after="40" w:before="40"/>
            </w:pPr>
            <w:r>
              <w:rPr>
                <w:sz w:val="17"/>
              </w:rPr>
              <w:t>E1</w:t>
            </w:r>
          </w:p>
        </w:tc>
        <w:tc>
          <w:tcPr>
            <w:tcW w:type="dxa" w:w="1870"/>
            <w:vAlign w:val="center"/>
          </w:tcPr>
          <w:p>
            <w:pPr>
              <w:spacing w:after="40" w:before="40"/>
            </w:pPr>
            <w:r>
              <w:rPr>
                <w:sz w:val="17"/>
              </w:rPr>
              <w:t>A</w:t>
            </w:r>
          </w:p>
        </w:tc>
        <w:tc>
          <w:tcPr>
            <w:tcW w:type="dxa" w:w="1870"/>
            <w:vAlign w:val="center"/>
          </w:tcPr>
          <w:p>
            <w:pPr>
              <w:spacing w:after="40" w:before="40"/>
            </w:pPr>
            <w:r>
              <w:rPr>
                <w:sz w:val="17"/>
              </w:rPr>
              <w:t>A-test</w:t>
            </w:r>
          </w:p>
        </w:tc>
        <w:tc>
          <w:tcPr>
            <w:tcW w:type="dxa" w:w="1870"/>
            <w:vAlign w:val="center"/>
          </w:tcPr>
          <w:p>
            <w:pPr>
              <w:spacing w:after="40" w:before="40"/>
            </w:pPr>
            <w:r>
              <w:rPr>
                <w:sz w:val="17"/>
              </w:rPr>
              <w:t>获得皮肤镜内域参照</w:t>
            </w:r>
          </w:p>
        </w:tc>
        <w:tc>
          <w:tcPr>
            <w:tcW w:type="dxa" w:w="1870"/>
            <w:vAlign w:val="center"/>
          </w:tcPr>
          <w:p>
            <w:pPr>
              <w:spacing w:after="40" w:before="40"/>
            </w:pPr>
            <w:r>
              <w:rPr>
                <w:sz w:val="17"/>
              </w:rPr>
              <w:t>AUROC/AUPRC、召回、特异度、校准</w:t>
            </w:r>
          </w:p>
        </w:tc>
      </w:tr>
      <w:tr>
        <w:tc>
          <w:tcPr>
            <w:tcW w:type="dxa" w:w="1870"/>
            <w:vAlign w:val="center"/>
          </w:tcPr>
          <w:p>
            <w:pPr>
              <w:spacing w:after="40" w:before="40"/>
            </w:pPr>
            <w:r>
              <w:rPr>
                <w:sz w:val="17"/>
              </w:rPr>
              <w:t>E2</w:t>
            </w:r>
          </w:p>
        </w:tc>
        <w:tc>
          <w:tcPr>
            <w:tcW w:type="dxa" w:w="1870"/>
            <w:vAlign w:val="center"/>
          </w:tcPr>
          <w:p>
            <w:pPr>
              <w:spacing w:after="40" w:before="40"/>
            </w:pPr>
            <w:r>
              <w:rPr>
                <w:sz w:val="17"/>
              </w:rPr>
              <w:t>A</w:t>
            </w:r>
          </w:p>
        </w:tc>
        <w:tc>
          <w:tcPr>
            <w:tcW w:type="dxa" w:w="1870"/>
            <w:vAlign w:val="center"/>
          </w:tcPr>
          <w:p>
            <w:pPr>
              <w:spacing w:after="40" w:before="40"/>
            </w:pPr>
            <w:r>
              <w:rPr>
                <w:sz w:val="17"/>
              </w:rPr>
              <w:t>B-test</w:t>
            </w:r>
          </w:p>
        </w:tc>
        <w:tc>
          <w:tcPr>
            <w:tcW w:type="dxa" w:w="1870"/>
            <w:vAlign w:val="center"/>
          </w:tcPr>
          <w:p>
            <w:pPr>
              <w:spacing w:after="40" w:before="40"/>
            </w:pPr>
            <w:r>
              <w:rPr>
                <w:sz w:val="17"/>
              </w:rPr>
              <w:t>在未见测试病例上研究跨模态迁移；配对比较 A/B test</w:t>
            </w:r>
          </w:p>
        </w:tc>
        <w:tc>
          <w:tcPr>
            <w:tcW w:type="dxa" w:w="1870"/>
            <w:vAlign w:val="center"/>
          </w:tcPr>
          <w:p>
            <w:pPr>
              <w:spacing w:after="40" w:before="40"/>
            </w:pPr>
            <w:r>
              <w:rPr>
                <w:sz w:val="17"/>
              </w:rPr>
              <w:t>预测翻转率、配对性能差及失败病例</w:t>
            </w:r>
          </w:p>
        </w:tc>
      </w:tr>
      <w:tr>
        <w:tc>
          <w:tcPr>
            <w:tcW w:type="dxa" w:w="1870"/>
            <w:vAlign w:val="center"/>
          </w:tcPr>
          <w:p>
            <w:pPr>
              <w:spacing w:after="40" w:before="40"/>
            </w:pPr>
            <w:r>
              <w:rPr>
                <w:sz w:val="17"/>
              </w:rPr>
              <w:t>E3</w:t>
            </w:r>
          </w:p>
        </w:tc>
        <w:tc>
          <w:tcPr>
            <w:tcW w:type="dxa" w:w="1870"/>
            <w:vAlign w:val="center"/>
          </w:tcPr>
          <w:p>
            <w:pPr>
              <w:spacing w:after="40" w:before="40"/>
            </w:pPr>
            <w:r>
              <w:rPr>
                <w:sz w:val="17"/>
              </w:rPr>
              <w:t>A</w:t>
            </w:r>
          </w:p>
        </w:tc>
        <w:tc>
          <w:tcPr>
            <w:tcW w:type="dxa" w:w="1870"/>
            <w:vAlign w:val="center"/>
          </w:tcPr>
          <w:p>
            <w:pPr>
              <w:spacing w:after="40" w:before="40"/>
            </w:pPr>
            <w:r>
              <w:rPr>
                <w:sz w:val="17"/>
              </w:rPr>
              <w:t>C-all</w:t>
            </w:r>
          </w:p>
        </w:tc>
        <w:tc>
          <w:tcPr>
            <w:tcW w:type="dxa" w:w="1870"/>
            <w:vAlign w:val="center"/>
          </w:tcPr>
          <w:p>
            <w:pPr>
              <w:spacing w:after="40" w:before="40"/>
            </w:pPr>
            <w:r>
              <w:rPr>
                <w:sz w:val="17"/>
              </w:rPr>
              <w:t>皮肤镜→外部临床照片</w:t>
            </w:r>
          </w:p>
        </w:tc>
        <w:tc>
          <w:tcPr>
            <w:tcW w:type="dxa" w:w="1870"/>
            <w:vAlign w:val="center"/>
          </w:tcPr>
          <w:p>
            <w:pPr>
              <w:spacing w:after="40" w:before="40"/>
            </w:pPr>
            <w:r>
              <w:rPr>
                <w:sz w:val="17"/>
              </w:rPr>
              <w:t>外部诊断指标、patient-cluster CI</w:t>
            </w:r>
          </w:p>
        </w:tc>
      </w:tr>
      <w:tr>
        <w:tc>
          <w:tcPr>
            <w:tcW w:type="dxa" w:w="1870"/>
            <w:vAlign w:val="center"/>
          </w:tcPr>
          <w:p>
            <w:pPr>
              <w:spacing w:after="40" w:before="40"/>
            </w:pPr>
            <w:r>
              <w:rPr>
                <w:sz w:val="17"/>
              </w:rPr>
              <w:t>E4</w:t>
            </w:r>
          </w:p>
        </w:tc>
        <w:tc>
          <w:tcPr>
            <w:tcW w:type="dxa" w:w="1870"/>
            <w:vAlign w:val="center"/>
          </w:tcPr>
          <w:p>
            <w:pPr>
              <w:spacing w:after="40" w:before="40"/>
            </w:pPr>
            <w:r>
              <w:rPr>
                <w:sz w:val="17"/>
              </w:rPr>
              <w:t>B</w:t>
            </w:r>
          </w:p>
        </w:tc>
        <w:tc>
          <w:tcPr>
            <w:tcW w:type="dxa" w:w="1870"/>
            <w:vAlign w:val="center"/>
          </w:tcPr>
          <w:p>
            <w:pPr>
              <w:spacing w:after="40" w:before="40"/>
            </w:pPr>
            <w:r>
              <w:rPr>
                <w:sz w:val="17"/>
              </w:rPr>
              <w:t>B-test</w:t>
            </w:r>
          </w:p>
        </w:tc>
        <w:tc>
          <w:tcPr>
            <w:tcW w:type="dxa" w:w="1870"/>
            <w:vAlign w:val="center"/>
          </w:tcPr>
          <w:p>
            <w:pPr>
              <w:spacing w:after="40" w:before="40"/>
            </w:pPr>
            <w:r>
              <w:rPr>
                <w:sz w:val="17"/>
              </w:rPr>
              <w:t>建立临床照片内域参照</w:t>
            </w:r>
          </w:p>
        </w:tc>
        <w:tc>
          <w:tcPr>
            <w:tcW w:type="dxa" w:w="1870"/>
            <w:vAlign w:val="center"/>
          </w:tcPr>
          <w:p>
            <w:pPr>
              <w:spacing w:after="40" w:before="40"/>
            </w:pPr>
            <w:r>
              <w:rPr>
                <w:sz w:val="17"/>
              </w:rPr>
              <w:t>同一指标体系</w:t>
            </w:r>
          </w:p>
        </w:tc>
      </w:tr>
      <w:tr>
        <w:tc>
          <w:tcPr>
            <w:tcW w:type="dxa" w:w="1870"/>
            <w:vAlign w:val="center"/>
          </w:tcPr>
          <w:p>
            <w:pPr>
              <w:spacing w:after="40" w:before="40"/>
            </w:pPr>
            <w:r>
              <w:rPr>
                <w:sz w:val="17"/>
              </w:rPr>
              <w:t>E5</w:t>
            </w:r>
          </w:p>
        </w:tc>
        <w:tc>
          <w:tcPr>
            <w:tcW w:type="dxa" w:w="1870"/>
            <w:vAlign w:val="center"/>
          </w:tcPr>
          <w:p>
            <w:pPr>
              <w:spacing w:after="40" w:before="40"/>
            </w:pPr>
            <w:r>
              <w:rPr>
                <w:sz w:val="17"/>
              </w:rPr>
              <w:t>B</w:t>
            </w:r>
          </w:p>
        </w:tc>
        <w:tc>
          <w:tcPr>
            <w:tcW w:type="dxa" w:w="1870"/>
            <w:vAlign w:val="center"/>
          </w:tcPr>
          <w:p>
            <w:pPr>
              <w:spacing w:after="40" w:before="40"/>
            </w:pPr>
            <w:r>
              <w:rPr>
                <w:sz w:val="17"/>
              </w:rPr>
              <w:t>C-all</w:t>
            </w:r>
          </w:p>
        </w:tc>
        <w:tc>
          <w:tcPr>
            <w:tcW w:type="dxa" w:w="1870"/>
            <w:vAlign w:val="center"/>
          </w:tcPr>
          <w:p>
            <w:pPr>
              <w:spacing w:after="40" w:before="40"/>
            </w:pPr>
            <w:r>
              <w:rPr>
                <w:sz w:val="17"/>
              </w:rPr>
              <w:t>临床照片→外部临床照片</w:t>
            </w:r>
          </w:p>
        </w:tc>
        <w:tc>
          <w:tcPr>
            <w:tcW w:type="dxa" w:w="1870"/>
            <w:vAlign w:val="center"/>
          </w:tcPr>
          <w:p>
            <w:pPr>
              <w:spacing w:after="40" w:before="40"/>
            </w:pPr>
            <w:r>
              <w:rPr>
                <w:sz w:val="17"/>
              </w:rPr>
              <w:t>与 E3 的患者配对差值比较</w:t>
            </w:r>
          </w:p>
        </w:tc>
      </w:tr>
      <w:tr>
        <w:tc>
          <w:tcPr>
            <w:tcW w:type="dxa" w:w="1870"/>
            <w:vAlign w:val="center"/>
          </w:tcPr>
          <w:p>
            <w:pPr>
              <w:spacing w:after="40" w:before="40"/>
            </w:pPr>
            <w:r>
              <w:rPr>
                <w:sz w:val="17"/>
              </w:rPr>
              <w:t>E6</w:t>
            </w:r>
          </w:p>
        </w:tc>
        <w:tc>
          <w:tcPr>
            <w:tcW w:type="dxa" w:w="1870"/>
            <w:vAlign w:val="center"/>
          </w:tcPr>
          <w:p>
            <w:pPr>
              <w:spacing w:after="40" w:before="40"/>
            </w:pPr>
            <w:r>
              <w:rPr>
                <w:sz w:val="17"/>
              </w:rPr>
              <w:t>对应模型</w:t>
            </w:r>
          </w:p>
        </w:tc>
        <w:tc>
          <w:tcPr>
            <w:tcW w:type="dxa" w:w="1870"/>
            <w:vAlign w:val="center"/>
          </w:tcPr>
          <w:p>
            <w:pPr>
              <w:spacing w:after="40" w:before="40"/>
            </w:pPr>
            <w:r>
              <w:rPr>
                <w:sz w:val="17"/>
              </w:rPr>
              <w:t>Derm7pt 概念 GT</w:t>
            </w:r>
          </w:p>
        </w:tc>
        <w:tc>
          <w:tcPr>
            <w:tcW w:type="dxa" w:w="1870"/>
            <w:vAlign w:val="center"/>
          </w:tcPr>
          <w:p>
            <w:pPr>
              <w:spacing w:after="40" w:before="40"/>
            </w:pPr>
            <w:r>
              <w:rPr>
                <w:sz w:val="17"/>
              </w:rPr>
              <w:t>检查七项概念识别及置信可靠性</w:t>
            </w:r>
          </w:p>
        </w:tc>
        <w:tc>
          <w:tcPr>
            <w:tcW w:type="dxa" w:w="1870"/>
            <w:vAlign w:val="center"/>
          </w:tcPr>
          <w:p>
            <w:pPr>
              <w:spacing w:after="40" w:before="40"/>
            </w:pPr>
            <w:r>
              <w:rPr>
                <w:sz w:val="17"/>
              </w:rPr>
              <w:t>逐概念指标、标签分布、错误分析</w:t>
            </w:r>
          </w:p>
        </w:tc>
      </w:tr>
      <w:tr>
        <w:tc>
          <w:tcPr>
            <w:tcW w:type="dxa" w:w="1870"/>
            <w:vAlign w:val="center"/>
          </w:tcPr>
          <w:p>
            <w:pPr>
              <w:spacing w:after="40" w:before="40"/>
            </w:pPr>
            <w:r>
              <w:rPr>
                <w:sz w:val="17"/>
              </w:rPr>
              <w:t>E7</w:t>
            </w:r>
          </w:p>
        </w:tc>
        <w:tc>
          <w:tcPr>
            <w:tcW w:type="dxa" w:w="1870"/>
            <w:vAlign w:val="center"/>
          </w:tcPr>
          <w:p>
            <w:pPr>
              <w:spacing w:after="40" w:before="40"/>
            </w:pPr>
            <w:r>
              <w:rPr>
                <w:sz w:val="17"/>
              </w:rPr>
              <w:t>固定模型</w:t>
            </w:r>
          </w:p>
        </w:tc>
        <w:tc>
          <w:tcPr>
            <w:tcW w:type="dxa" w:w="1870"/>
            <w:vAlign w:val="center"/>
          </w:tcPr>
          <w:p>
            <w:pPr>
              <w:spacing w:after="40" w:before="40"/>
            </w:pPr>
            <w:r>
              <w:rPr>
                <w:sz w:val="17"/>
              </w:rPr>
              <w:t>A/B/C</w:t>
            </w:r>
          </w:p>
        </w:tc>
        <w:tc>
          <w:tcPr>
            <w:tcW w:type="dxa" w:w="1870"/>
            <w:vAlign w:val="center"/>
          </w:tcPr>
          <w:p>
            <w:pPr>
              <w:spacing w:after="40" w:before="40"/>
            </w:pPr>
            <w:r>
              <w:rPr>
                <w:sz w:val="17"/>
              </w:rPr>
              <w:t>检查概念分数分布与性能变化的联系</w:t>
            </w:r>
          </w:p>
        </w:tc>
        <w:tc>
          <w:tcPr>
            <w:tcW w:type="dxa" w:w="1870"/>
            <w:vAlign w:val="center"/>
          </w:tcPr>
          <w:p>
            <w:pPr>
              <w:spacing w:after="40" w:before="40"/>
            </w:pPr>
            <w:r>
              <w:rPr>
                <w:sz w:val="17"/>
              </w:rPr>
              <w:t>分布图、相关分析、限制声明</w:t>
            </w:r>
          </w:p>
        </w:tc>
      </w:tr>
    </w:tbl>
    <w:p>
      <w:pPr>
        <w:spacing w:after="20"/>
      </w:pPr>
    </w:p>
    <w:p>
      <w:r>
        <w:t>Protocol 硬约束：(1) A/B 共享 Derm7pt 官方 case split；一病例双视图不跨 train/val/test；重复文件跨 split 时阻塞。(2) PAD 不参与训练、checkpoint、阈值与超参数选择。(3) 阈值在 source validation 上以预先固定的 Youden J 规则选择；0.5 只做概率输出的敏感性分析。(4) 每源域只训练一个模型配置，并推理多个域，避免重复训练制造不公平。(5) first smoke seed=42；正式 seeds=42、43、44。(6) 预测保存病例/病灶/患者层级 ID 于私有目录；公开库仅保留聚合结果。</w:t>
      </w:r>
    </w:p>
    <w:p>
      <w:r>
        <w:t>主指标 AUROC、AUPRC、Sensitivity、Specificity、Balanced Accuracy；辅助指标 F1、ECE、Brier。域间 AUPRC 受正例率影响，必须同时报告阳性率和随机 AP 基线。PAD 原始图像层面的外部结果辅以 patient-cluster bootstrap 95% CI，并单独审查多病灶患者下的 patient-level 聚合规则。</w:t>
      </w:r>
    </w:p>
    <w:p>
      <w:pPr>
        <w:pStyle w:val="Heading1"/>
      </w:pPr>
      <w:r>
        <w:t>8. 第一阶段执行计划（两周起步，按门禁推进）</w:t>
      </w:r>
    </w:p>
    <w:tbl>
      <w:tblPr>
        <w:tblStyle w:val="LightShading-Accent1"/>
        <w:tblW w:type="auto" w:w="0"/>
        <w:jc w:val="center"/>
        <w:tblLook w:firstColumn="1" w:firstRow="1" w:lastColumn="0" w:lastRow="0" w:noHBand="0" w:noVBand="1" w:val="04A0"/>
      </w:tblPr>
      <w:tblGrid>
        <w:gridCol w:w="2337"/>
        <w:gridCol w:w="2337"/>
        <w:gridCol w:w="2337"/>
        <w:gridCol w:w="2337"/>
      </w:tblGrid>
      <w:tr>
        <w:tc>
          <w:tcPr>
            <w:tcW w:type="dxa" w:w="2337"/>
            <w:vAlign w:val="center"/>
          </w:tcPr>
          <w:p>
            <w:pPr>
              <w:spacing w:after="40" w:before="40"/>
            </w:pPr>
            <w:r>
              <w:rPr>
                <w:b/>
                <w:color w:val="1D4066"/>
                <w:sz w:val="17"/>
              </w:rPr>
              <w:t>阶段/时间</w:t>
            </w:r>
          </w:p>
        </w:tc>
        <w:tc>
          <w:tcPr>
            <w:tcW w:type="dxa" w:w="2337"/>
            <w:vAlign w:val="center"/>
          </w:tcPr>
          <w:p>
            <w:pPr>
              <w:spacing w:after="40" w:before="40"/>
            </w:pPr>
            <w:r>
              <w:rPr>
                <w:b/>
                <w:color w:val="1D4066"/>
                <w:sz w:val="17"/>
              </w:rPr>
              <w:t>地点/资源</w:t>
            </w:r>
          </w:p>
        </w:tc>
        <w:tc>
          <w:tcPr>
            <w:tcW w:type="dxa" w:w="2337"/>
            <w:vAlign w:val="center"/>
          </w:tcPr>
          <w:p>
            <w:pPr>
              <w:spacing w:after="40" w:before="40"/>
            </w:pPr>
            <w:r>
              <w:rPr>
                <w:b/>
                <w:color w:val="1D4066"/>
                <w:sz w:val="17"/>
              </w:rPr>
              <w:t>任务</w:t>
            </w:r>
          </w:p>
        </w:tc>
        <w:tc>
          <w:tcPr>
            <w:tcW w:type="dxa" w:w="2337"/>
            <w:vAlign w:val="center"/>
          </w:tcPr>
          <w:p>
            <w:pPr>
              <w:spacing w:after="40" w:before="40"/>
            </w:pPr>
            <w:r>
              <w:rPr>
                <w:b/>
                <w:color w:val="1D4066"/>
                <w:sz w:val="17"/>
              </w:rPr>
              <w:t>必须交付/验收门槛</w:t>
            </w:r>
          </w:p>
        </w:tc>
      </w:tr>
      <w:tr>
        <w:tc>
          <w:tcPr>
            <w:tcW w:type="dxa" w:w="2337"/>
            <w:vAlign w:val="center"/>
          </w:tcPr>
          <w:p>
            <w:pPr>
              <w:spacing w:after="40" w:before="40"/>
            </w:pPr>
            <w:r>
              <w:rPr>
                <w:sz w:val="17"/>
              </w:rPr>
              <w:t>P0｜D1–D2</w:t>
            </w:r>
          </w:p>
        </w:tc>
        <w:tc>
          <w:tcPr>
            <w:tcW w:type="dxa" w:w="2337"/>
            <w:vAlign w:val="center"/>
          </w:tcPr>
          <w:p>
            <w:pPr>
              <w:spacing w:after="40" w:before="40"/>
            </w:pPr>
            <w:r>
              <w:rPr>
                <w:sz w:val="17"/>
              </w:rPr>
              <w:t>本地</w:t>
            </w:r>
          </w:p>
        </w:tc>
        <w:tc>
          <w:tcPr>
            <w:tcW w:type="dxa" w:w="2337"/>
            <w:vAlign w:val="center"/>
          </w:tcPr>
          <w:p>
            <w:pPr>
              <w:spacing w:after="40" w:before="40"/>
            </w:pPr>
            <w:r>
              <w:rPr>
                <w:sz w:val="17"/>
              </w:rPr>
              <w:t>冻结协议、manifest、防泄漏检查与配置</w:t>
            </w:r>
          </w:p>
        </w:tc>
        <w:tc>
          <w:tcPr>
            <w:tcW w:type="dxa" w:w="2337"/>
            <w:vAlign w:val="center"/>
          </w:tcPr>
          <w:p>
            <w:pPr>
              <w:spacing w:after="40" w:before="40"/>
            </w:pPr>
            <w:r>
              <w:rPr>
                <w:sz w:val="17"/>
              </w:rPr>
              <w:t>Protocol YAML/MD、split manifests、标签与泄漏测试 PASS</w:t>
            </w:r>
          </w:p>
        </w:tc>
      </w:tr>
      <w:tr>
        <w:tc>
          <w:tcPr>
            <w:tcW w:type="dxa" w:w="2337"/>
            <w:vAlign w:val="center"/>
          </w:tcPr>
          <w:p>
            <w:pPr>
              <w:spacing w:after="40" w:before="40"/>
            </w:pPr>
            <w:r>
              <w:rPr>
                <w:sz w:val="17"/>
              </w:rPr>
              <w:t>P1｜D3</w:t>
            </w:r>
          </w:p>
        </w:tc>
        <w:tc>
          <w:tcPr>
            <w:tcW w:type="dxa" w:w="2337"/>
            <w:vAlign w:val="center"/>
          </w:tcPr>
          <w:p>
            <w:pPr>
              <w:spacing w:after="40" w:before="40"/>
            </w:pPr>
            <w:r>
              <w:rPr>
                <w:sz w:val="17"/>
              </w:rPr>
              <w:t>本地 RTX GPU</w:t>
            </w:r>
          </w:p>
        </w:tc>
        <w:tc>
          <w:tcPr>
            <w:tcW w:type="dxa" w:w="2337"/>
            <w:vAlign w:val="center"/>
          </w:tcPr>
          <w:p>
            <w:pPr>
              <w:spacing w:after="40" w:before="40"/>
            </w:pPr>
            <w:r>
              <w:rPr>
                <w:sz w:val="17"/>
              </w:rPr>
              <w:t>ResNet50 smoke：读图、训练、保存、恢复、推理</w:t>
            </w:r>
          </w:p>
        </w:tc>
        <w:tc>
          <w:tcPr>
            <w:tcW w:type="dxa" w:w="2337"/>
            <w:vAlign w:val="center"/>
          </w:tcPr>
          <w:p>
            <w:pPr>
              <w:spacing w:after="40" w:before="40"/>
            </w:pPr>
            <w:r>
              <w:rPr>
                <w:sz w:val="17"/>
              </w:rPr>
              <w:t>20–30 batch 前反向传播正常；重启可复现；无数据泄漏</w:t>
            </w:r>
          </w:p>
        </w:tc>
      </w:tr>
      <w:tr>
        <w:tc>
          <w:tcPr>
            <w:tcW w:type="dxa" w:w="2337"/>
            <w:vAlign w:val="center"/>
          </w:tcPr>
          <w:p>
            <w:pPr>
              <w:spacing w:after="40" w:before="40"/>
            </w:pPr>
            <w:r>
              <w:rPr>
                <w:sz w:val="17"/>
              </w:rPr>
              <w:t>P2｜D4–D7</w:t>
            </w:r>
          </w:p>
        </w:tc>
        <w:tc>
          <w:tcPr>
            <w:tcW w:type="dxa" w:w="2337"/>
            <w:vAlign w:val="center"/>
          </w:tcPr>
          <w:p>
            <w:pPr>
              <w:spacing w:after="40" w:before="40"/>
            </w:pPr>
            <w:r>
              <w:rPr>
                <w:sz w:val="17"/>
              </w:rPr>
              <w:t>本地</w:t>
            </w:r>
          </w:p>
        </w:tc>
        <w:tc>
          <w:tcPr>
            <w:tcW w:type="dxa" w:w="2337"/>
            <w:vAlign w:val="center"/>
          </w:tcPr>
          <w:p>
            <w:pPr>
              <w:spacing w:after="40" w:before="40"/>
            </w:pPr>
            <w:r>
              <w:rPr>
                <w:sz w:val="17"/>
              </w:rPr>
              <w:t>E1–E5 seed 42，生成初版图表</w:t>
            </w:r>
          </w:p>
        </w:tc>
        <w:tc>
          <w:tcPr>
            <w:tcW w:type="dxa" w:w="2337"/>
            <w:vAlign w:val="center"/>
          </w:tcPr>
          <w:p>
            <w:pPr>
              <w:spacing w:after="40" w:before="40"/>
            </w:pPr>
            <w:r>
              <w:rPr>
                <w:sz w:val="17"/>
              </w:rPr>
              <w:t>A/B 源模型各一套；五域推理、阈值日志、5 张以上有解释性的图</w:t>
            </w:r>
          </w:p>
        </w:tc>
      </w:tr>
      <w:tr>
        <w:tc>
          <w:tcPr>
            <w:tcW w:type="dxa" w:w="2337"/>
            <w:vAlign w:val="center"/>
          </w:tcPr>
          <w:p>
            <w:pPr>
              <w:spacing w:after="40" w:before="40"/>
            </w:pPr>
            <w:r>
              <w:rPr>
                <w:sz w:val="17"/>
              </w:rPr>
              <w:t>P3｜D8</w:t>
            </w:r>
          </w:p>
        </w:tc>
        <w:tc>
          <w:tcPr>
            <w:tcW w:type="dxa" w:w="2337"/>
            <w:vAlign w:val="center"/>
          </w:tcPr>
          <w:p>
            <w:pPr>
              <w:spacing w:after="40" w:before="40"/>
            </w:pPr>
            <w:r>
              <w:rPr>
                <w:sz w:val="17"/>
              </w:rPr>
              <w:t>服务器</w:t>
            </w:r>
          </w:p>
        </w:tc>
        <w:tc>
          <w:tcPr>
            <w:tcW w:type="dxa" w:w="2337"/>
            <w:vAlign w:val="center"/>
          </w:tcPr>
          <w:p>
            <w:pPr>
              <w:spacing w:after="40" w:before="40"/>
            </w:pPr>
            <w:r>
              <w:rPr>
                <w:sz w:val="17"/>
              </w:rPr>
              <w:t>Git 固定版本、环境与只读数据验收</w:t>
            </w:r>
          </w:p>
        </w:tc>
        <w:tc>
          <w:tcPr>
            <w:tcW w:type="dxa" w:w="2337"/>
            <w:vAlign w:val="center"/>
          </w:tcPr>
          <w:p>
            <w:pPr>
              <w:spacing w:after="40" w:before="40"/>
            </w:pPr>
            <w:r>
              <w:rPr>
                <w:sz w:val="17"/>
              </w:rPr>
              <w:t>依赖/GPU/数据哈希/commit 一致；私有数据不上传公开库</w:t>
            </w:r>
          </w:p>
        </w:tc>
      </w:tr>
      <w:tr>
        <w:tc>
          <w:tcPr>
            <w:tcW w:type="dxa" w:w="2337"/>
            <w:vAlign w:val="center"/>
          </w:tcPr>
          <w:p>
            <w:pPr>
              <w:spacing w:after="40" w:before="40"/>
            </w:pPr>
            <w:r>
              <w:rPr>
                <w:sz w:val="17"/>
              </w:rPr>
              <w:t>P4｜D9–D11</w:t>
            </w:r>
          </w:p>
        </w:tc>
        <w:tc>
          <w:tcPr>
            <w:tcW w:type="dxa" w:w="2337"/>
            <w:vAlign w:val="center"/>
          </w:tcPr>
          <w:p>
            <w:pPr>
              <w:spacing w:after="40" w:before="40"/>
            </w:pPr>
            <w:r>
              <w:rPr>
                <w:sz w:val="17"/>
              </w:rPr>
              <w:t>服务器</w:t>
            </w:r>
          </w:p>
        </w:tc>
        <w:tc>
          <w:tcPr>
            <w:tcW w:type="dxa" w:w="2337"/>
            <w:vAlign w:val="center"/>
          </w:tcPr>
          <w:p>
            <w:pPr>
              <w:spacing w:after="40" w:before="40"/>
            </w:pPr>
            <w:r>
              <w:rPr>
                <w:sz w:val="17"/>
              </w:rPr>
              <w:t>ResNet50 seeds 42/43/44；集中推理</w:t>
            </w:r>
          </w:p>
        </w:tc>
        <w:tc>
          <w:tcPr>
            <w:tcW w:type="dxa" w:w="2337"/>
            <w:vAlign w:val="center"/>
          </w:tcPr>
          <w:p>
            <w:pPr>
              <w:spacing w:after="40" w:before="40"/>
            </w:pPr>
            <w:r>
              <w:rPr>
                <w:sz w:val="17"/>
              </w:rPr>
              <w:t>逐 run 完整日志；各域指标和 patient bootstrap 95% CI</w:t>
            </w:r>
          </w:p>
        </w:tc>
      </w:tr>
      <w:tr>
        <w:tc>
          <w:tcPr>
            <w:tcW w:type="dxa" w:w="2337"/>
            <w:vAlign w:val="center"/>
          </w:tcPr>
          <w:p>
            <w:pPr>
              <w:spacing w:after="40" w:before="40"/>
            </w:pPr>
            <w:r>
              <w:rPr>
                <w:sz w:val="17"/>
              </w:rPr>
              <w:t>P5｜D12–D14</w:t>
            </w:r>
          </w:p>
        </w:tc>
        <w:tc>
          <w:tcPr>
            <w:tcW w:type="dxa" w:w="2337"/>
            <w:vAlign w:val="center"/>
          </w:tcPr>
          <w:p>
            <w:pPr>
              <w:spacing w:after="40" w:before="40"/>
            </w:pPr>
            <w:r>
              <w:rPr>
                <w:sz w:val="17"/>
              </w:rPr>
              <w:t>本地分析</w:t>
            </w:r>
          </w:p>
        </w:tc>
        <w:tc>
          <w:tcPr>
            <w:tcW w:type="dxa" w:w="2337"/>
            <w:vAlign w:val="center"/>
          </w:tcPr>
          <w:p>
            <w:pPr>
              <w:spacing w:after="40" w:before="40"/>
            </w:pPr>
            <w:r>
              <w:rPr>
                <w:sz w:val="17"/>
              </w:rPr>
              <w:t>汇总基线性能、校准、失败案例与汇报</w:t>
            </w:r>
          </w:p>
        </w:tc>
        <w:tc>
          <w:tcPr>
            <w:tcW w:type="dxa" w:w="2337"/>
            <w:vAlign w:val="center"/>
          </w:tcPr>
          <w:p>
            <w:pPr>
              <w:spacing w:after="40" w:before="40"/>
            </w:pPr>
            <w:r>
              <w:rPr>
                <w:sz w:val="17"/>
              </w:rPr>
              <w:t>Baseline Report v0.1、全部汇总图表、失败原因与下步决策</w:t>
            </w:r>
          </w:p>
        </w:tc>
      </w:tr>
    </w:tbl>
    <w:p>
      <w:pPr>
        <w:spacing w:after="20"/>
      </w:pPr>
    </w:p>
    <w:p>
      <w:r>
        <w:t>以上天数是预估工作顺序，并非保证完成时间。每个门禁失败时优先修复问题，不为赶进度伪造“PASS”。若本地训练、服务器容量或数据许可存在障碍，应明确阻塞状态。</w:t>
      </w:r>
    </w:p>
    <w:p>
      <w:pPr>
        <w:pStyle w:val="Heading1"/>
      </w:pPr>
      <w:r>
        <w:t>9. 必需图表、科研成果与可追踪记录</w:t>
      </w:r>
    </w:p>
    <w:tbl>
      <w:tblPr>
        <w:tblStyle w:val="LightShading-Accent1"/>
        <w:tblW w:type="auto" w:w="0"/>
        <w:jc w:val="center"/>
        <w:tblLook w:firstColumn="1" w:firstRow="1" w:lastColumn="0" w:lastRow="0" w:noHBand="0" w:noVBand="1" w:val="04A0"/>
      </w:tblPr>
      <w:tblGrid>
        <w:gridCol w:w="3116"/>
        <w:gridCol w:w="3116"/>
        <w:gridCol w:w="3116"/>
      </w:tblGrid>
      <w:tr>
        <w:tc>
          <w:tcPr>
            <w:tcW w:type="dxa" w:w="3116"/>
            <w:vAlign w:val="center"/>
          </w:tcPr>
          <w:p>
            <w:pPr>
              <w:spacing w:after="40" w:before="40"/>
            </w:pPr>
            <w:r>
              <w:rPr>
                <w:b/>
                <w:color w:val="1D4066"/>
                <w:sz w:val="17"/>
              </w:rPr>
              <w:t>图表/文件</w:t>
            </w:r>
          </w:p>
        </w:tc>
        <w:tc>
          <w:tcPr>
            <w:tcW w:type="dxa" w:w="3116"/>
            <w:vAlign w:val="center"/>
          </w:tcPr>
          <w:p>
            <w:pPr>
              <w:spacing w:after="40" w:before="40"/>
            </w:pPr>
            <w:r>
              <w:rPr>
                <w:b/>
                <w:color w:val="1D4066"/>
                <w:sz w:val="17"/>
              </w:rPr>
              <w:t>预期表达的科研结论</w:t>
            </w:r>
          </w:p>
        </w:tc>
        <w:tc>
          <w:tcPr>
            <w:tcW w:type="dxa" w:w="3116"/>
            <w:vAlign w:val="center"/>
          </w:tcPr>
          <w:p>
            <w:pPr>
              <w:spacing w:after="40" w:before="40"/>
            </w:pPr>
            <w:r>
              <w:rPr>
                <w:b/>
                <w:color w:val="1D4066"/>
                <w:sz w:val="17"/>
              </w:rPr>
              <w:t>数据来源</w:t>
            </w:r>
          </w:p>
        </w:tc>
      </w:tr>
      <w:tr>
        <w:tc>
          <w:tcPr>
            <w:tcW w:type="dxa" w:w="3116"/>
            <w:vAlign w:val="center"/>
          </w:tcPr>
          <w:p>
            <w:pPr>
              <w:spacing w:after="40" w:before="40"/>
            </w:pPr>
            <w:r>
              <w:rPr>
                <w:sz w:val="17"/>
              </w:rPr>
              <w:t>Fig 1 数据分布与患病率</w:t>
            </w:r>
          </w:p>
        </w:tc>
        <w:tc>
          <w:tcPr>
            <w:tcW w:type="dxa" w:w="3116"/>
            <w:vAlign w:val="center"/>
          </w:tcPr>
          <w:p>
            <w:pPr>
              <w:spacing w:after="40" w:before="40"/>
            </w:pPr>
            <w:r>
              <w:rPr>
                <w:sz w:val="17"/>
              </w:rPr>
              <w:t>两个数据集的标签分布不同，评价指标必须防止准确率误导</w:t>
            </w:r>
          </w:p>
        </w:tc>
        <w:tc>
          <w:tcPr>
            <w:tcW w:type="dxa" w:w="3116"/>
            <w:vAlign w:val="center"/>
          </w:tcPr>
          <w:p>
            <w:pPr>
              <w:spacing w:after="40" w:before="40"/>
            </w:pPr>
            <w:r>
              <w:rPr>
                <w:sz w:val="17"/>
              </w:rPr>
              <w:t>已完成审计汇总</w:t>
            </w:r>
          </w:p>
        </w:tc>
      </w:tr>
      <w:tr>
        <w:tc>
          <w:tcPr>
            <w:tcW w:type="dxa" w:w="3116"/>
            <w:vAlign w:val="center"/>
          </w:tcPr>
          <w:p>
            <w:pPr>
              <w:spacing w:after="40" w:before="40"/>
            </w:pPr>
            <w:r>
              <w:rPr>
                <w:sz w:val="17"/>
              </w:rPr>
              <w:t>Fig 2 研究域与实验矩阵</w:t>
            </w:r>
          </w:p>
        </w:tc>
        <w:tc>
          <w:tcPr>
            <w:tcW w:type="dxa" w:w="3116"/>
            <w:vAlign w:val="center"/>
          </w:tcPr>
          <w:p>
            <w:pPr>
              <w:spacing w:after="40" w:before="40"/>
            </w:pPr>
            <w:r>
              <w:rPr>
                <w:sz w:val="17"/>
              </w:rPr>
              <w:t>同病例跨模态与外部域不可混淆</w:t>
            </w:r>
          </w:p>
        </w:tc>
        <w:tc>
          <w:tcPr>
            <w:tcW w:type="dxa" w:w="3116"/>
            <w:vAlign w:val="center"/>
          </w:tcPr>
          <w:p>
            <w:pPr>
              <w:spacing w:after="40" w:before="40"/>
            </w:pPr>
            <w:r>
              <w:rPr>
                <w:sz w:val="17"/>
              </w:rPr>
              <w:t>冻结 Protocol</w:t>
            </w:r>
          </w:p>
        </w:tc>
      </w:tr>
      <w:tr>
        <w:tc>
          <w:tcPr>
            <w:tcW w:type="dxa" w:w="3116"/>
            <w:vAlign w:val="center"/>
          </w:tcPr>
          <w:p>
            <w:pPr>
              <w:spacing w:after="40" w:before="40"/>
            </w:pPr>
            <w:r>
              <w:rPr>
                <w:sz w:val="17"/>
              </w:rPr>
              <w:t>Fig 3 五实验 AUROC/AUPRC</w:t>
            </w:r>
          </w:p>
        </w:tc>
        <w:tc>
          <w:tcPr>
            <w:tcW w:type="dxa" w:w="3116"/>
            <w:vAlign w:val="center"/>
          </w:tcPr>
          <w:p>
            <w:pPr>
              <w:spacing w:after="40" w:before="40"/>
            </w:pPr>
            <w:r>
              <w:rPr>
                <w:sz w:val="17"/>
              </w:rPr>
              <w:t>不同训练源域与测试域的性能差</w:t>
            </w:r>
          </w:p>
        </w:tc>
        <w:tc>
          <w:tcPr>
            <w:tcW w:type="dxa" w:w="3116"/>
            <w:vAlign w:val="center"/>
          </w:tcPr>
          <w:p>
            <w:pPr>
              <w:spacing w:after="40" w:before="40"/>
            </w:pPr>
            <w:r>
              <w:rPr>
                <w:sz w:val="17"/>
              </w:rPr>
              <w:t>E1–E5 真值与预测</w:t>
            </w:r>
          </w:p>
        </w:tc>
      </w:tr>
      <w:tr>
        <w:tc>
          <w:tcPr>
            <w:tcW w:type="dxa" w:w="3116"/>
            <w:vAlign w:val="center"/>
          </w:tcPr>
          <w:p>
            <w:pPr>
              <w:spacing w:after="40" w:before="40"/>
            </w:pPr>
            <w:r>
              <w:rPr>
                <w:sz w:val="17"/>
              </w:rPr>
              <w:t>Fig 4 ROC/PR + source 阈值</w:t>
            </w:r>
          </w:p>
        </w:tc>
        <w:tc>
          <w:tcPr>
            <w:tcW w:type="dxa" w:w="3116"/>
            <w:vAlign w:val="center"/>
          </w:tcPr>
          <w:p>
            <w:pPr>
              <w:spacing w:after="40" w:before="40"/>
            </w:pPr>
            <w:r>
              <w:rPr>
                <w:sz w:val="17"/>
              </w:rPr>
              <w:t>整体判别力与敏感度/特异度权衡</w:t>
            </w:r>
          </w:p>
        </w:tc>
        <w:tc>
          <w:tcPr>
            <w:tcW w:type="dxa" w:w="3116"/>
            <w:vAlign w:val="center"/>
          </w:tcPr>
          <w:p>
            <w:pPr>
              <w:spacing w:after="40" w:before="40"/>
            </w:pPr>
            <w:r>
              <w:rPr>
                <w:sz w:val="17"/>
              </w:rPr>
              <w:t>源 val 阈值+冻结测试</w:t>
            </w:r>
          </w:p>
        </w:tc>
      </w:tr>
      <w:tr>
        <w:tc>
          <w:tcPr>
            <w:tcW w:type="dxa" w:w="3116"/>
            <w:vAlign w:val="center"/>
          </w:tcPr>
          <w:p>
            <w:pPr>
              <w:spacing w:after="40" w:before="40"/>
            </w:pPr>
            <w:r>
              <w:rPr>
                <w:sz w:val="17"/>
              </w:rPr>
              <w:t>Fig 5 Same-case A/B flip matrix</w:t>
            </w:r>
          </w:p>
        </w:tc>
        <w:tc>
          <w:tcPr>
            <w:tcW w:type="dxa" w:w="3116"/>
            <w:vAlign w:val="center"/>
          </w:tcPr>
          <w:p>
            <w:pPr>
              <w:spacing w:after="40" w:before="40"/>
            </w:pPr>
            <w:r>
              <w:rPr>
                <w:sz w:val="17"/>
              </w:rPr>
              <w:t>模型在同一病例更换图像时是否改变结论</w:t>
            </w:r>
          </w:p>
        </w:tc>
        <w:tc>
          <w:tcPr>
            <w:tcW w:type="dxa" w:w="3116"/>
            <w:vAlign w:val="center"/>
          </w:tcPr>
          <w:p>
            <w:pPr>
              <w:spacing w:after="40" w:before="40"/>
            </w:pPr>
            <w:r>
              <w:rPr>
                <w:sz w:val="17"/>
              </w:rPr>
              <w:t>E1/E2 配对数据</w:t>
            </w:r>
          </w:p>
        </w:tc>
      </w:tr>
      <w:tr>
        <w:tc>
          <w:tcPr>
            <w:tcW w:type="dxa" w:w="3116"/>
            <w:vAlign w:val="center"/>
          </w:tcPr>
          <w:p>
            <w:pPr>
              <w:spacing w:after="40" w:before="40"/>
            </w:pPr>
            <w:r>
              <w:rPr>
                <w:sz w:val="17"/>
              </w:rPr>
              <w:t>Fig 6 PAD 95% CI forest plot</w:t>
            </w:r>
          </w:p>
        </w:tc>
        <w:tc>
          <w:tcPr>
            <w:tcW w:type="dxa" w:w="3116"/>
            <w:vAlign w:val="center"/>
          </w:tcPr>
          <w:p>
            <w:pPr>
              <w:spacing w:after="40" w:before="40"/>
            </w:pPr>
            <w:r>
              <w:rPr>
                <w:sz w:val="17"/>
              </w:rPr>
              <w:t>考虑患者多图后域外结论有多稳健</w:t>
            </w:r>
          </w:p>
        </w:tc>
        <w:tc>
          <w:tcPr>
            <w:tcW w:type="dxa" w:w="3116"/>
            <w:vAlign w:val="center"/>
          </w:tcPr>
          <w:p>
            <w:pPr>
              <w:spacing w:after="40" w:before="40"/>
            </w:pPr>
            <w:r>
              <w:rPr>
                <w:sz w:val="17"/>
              </w:rPr>
              <w:t>patient-cluster bootstrap</w:t>
            </w:r>
          </w:p>
        </w:tc>
      </w:tr>
      <w:tr>
        <w:tc>
          <w:tcPr>
            <w:tcW w:type="dxa" w:w="3116"/>
            <w:vAlign w:val="center"/>
          </w:tcPr>
          <w:p>
            <w:pPr>
              <w:spacing w:after="40" w:before="40"/>
            </w:pPr>
            <w:r>
              <w:rPr>
                <w:sz w:val="17"/>
              </w:rPr>
              <w:t>Fig 7 Concept-wise error &amp; stability</w:t>
            </w:r>
          </w:p>
        </w:tc>
        <w:tc>
          <w:tcPr>
            <w:tcW w:type="dxa" w:w="3116"/>
            <w:vAlign w:val="center"/>
          </w:tcPr>
          <w:p>
            <w:pPr>
              <w:spacing w:after="40" w:before="40"/>
            </w:pPr>
            <w:r>
              <w:rPr>
                <w:sz w:val="17"/>
              </w:rPr>
              <w:t>七点概念何者最易出错、何者与诊断误差相关</w:t>
            </w:r>
          </w:p>
        </w:tc>
        <w:tc>
          <w:tcPr>
            <w:tcW w:type="dxa" w:w="3116"/>
            <w:vAlign w:val="center"/>
          </w:tcPr>
          <w:p>
            <w:pPr>
              <w:spacing w:after="40" w:before="40"/>
            </w:pPr>
            <w:r>
              <w:rPr>
                <w:sz w:val="17"/>
              </w:rPr>
              <w:t>E6/E7；仅有合法 GT 的域</w:t>
            </w:r>
          </w:p>
        </w:tc>
      </w:tr>
      <w:tr>
        <w:tc>
          <w:tcPr>
            <w:tcW w:type="dxa" w:w="3116"/>
            <w:vAlign w:val="center"/>
          </w:tcPr>
          <w:p>
            <w:pPr>
              <w:spacing w:after="40" w:before="40"/>
            </w:pPr>
            <w:r>
              <w:rPr>
                <w:sz w:val="17"/>
              </w:rPr>
              <w:t>Fig 8 校准与失败案例</w:t>
            </w:r>
          </w:p>
        </w:tc>
        <w:tc>
          <w:tcPr>
            <w:tcW w:type="dxa" w:w="3116"/>
            <w:vAlign w:val="center"/>
          </w:tcPr>
          <w:p>
            <w:pPr>
              <w:spacing w:after="40" w:before="40"/>
            </w:pPr>
            <w:r>
              <w:rPr>
                <w:sz w:val="17"/>
              </w:rPr>
              <w:t>模型是否过度自信、主要错在哪类病例</w:t>
            </w:r>
          </w:p>
        </w:tc>
        <w:tc>
          <w:tcPr>
            <w:tcW w:type="dxa" w:w="3116"/>
            <w:vAlign w:val="center"/>
          </w:tcPr>
          <w:p>
            <w:pPr>
              <w:spacing w:after="40" w:before="40"/>
            </w:pPr>
            <w:r>
              <w:rPr>
                <w:sz w:val="17"/>
              </w:rPr>
              <w:t>ECE、Brier、个案私有复核</w:t>
            </w:r>
          </w:p>
        </w:tc>
      </w:tr>
    </w:tbl>
    <w:p>
      <w:pPr>
        <w:spacing w:after="20"/>
      </w:pPr>
    </w:p>
    <w:p>
      <w:r>
        <w:t>每次运行至少记录 run_id、任务、模型、训练/测试域、seed、protocol_version、commit SHA、checkpoint 文件哈希、环境版本、阈值来源、各指标、开始/结束时间与状态。外部模型的 pretrained checkpoint 版本、prompt 模板和输入预处理也应单独版本化。</w:t>
      </w:r>
    </w:p>
    <w:p>
      <w:r>
        <w:t>服务器只负责固定代码版本的可重复训练和大规模推理，本地负责协议制定、数据审计、初次 smoke、汇总图表及论文写作。科研记录不应依赖长篇 Codex 聊天，而由配置和结构化产物自动生成。</w:t>
      </w:r>
    </w:p>
    <w:p>
      <w:pPr>
        <w:pStyle w:val="Heading1"/>
      </w:pPr>
      <w:r>
        <w:t>10. 目标期刊与会议策略</w:t>
      </w:r>
    </w:p>
    <w:tbl>
      <w:tblPr>
        <w:tblStyle w:val="LightShading-Accent1"/>
        <w:tblW w:type="auto" w:w="0"/>
        <w:jc w:val="center"/>
        <w:tblLook w:firstColumn="1" w:firstRow="1" w:lastColumn="0" w:lastRow="0" w:noHBand="0" w:noVBand="1" w:val="04A0"/>
      </w:tblPr>
      <w:tblGrid>
        <w:gridCol w:w="2337"/>
        <w:gridCol w:w="2337"/>
        <w:gridCol w:w="2337"/>
        <w:gridCol w:w="2337"/>
      </w:tblGrid>
      <w:tr>
        <w:tc>
          <w:tcPr>
            <w:tcW w:type="dxa" w:w="2337"/>
            <w:vAlign w:val="center"/>
          </w:tcPr>
          <w:p>
            <w:pPr>
              <w:spacing w:after="40" w:before="40"/>
            </w:pPr>
            <w:r>
              <w:rPr>
                <w:b/>
                <w:color w:val="1D4066"/>
                <w:sz w:val="17"/>
              </w:rPr>
              <w:t>层级</w:t>
            </w:r>
          </w:p>
        </w:tc>
        <w:tc>
          <w:tcPr>
            <w:tcW w:type="dxa" w:w="2337"/>
            <w:vAlign w:val="center"/>
          </w:tcPr>
          <w:p>
            <w:pPr>
              <w:spacing w:after="40" w:before="40"/>
            </w:pPr>
            <w:r>
              <w:rPr>
                <w:b/>
                <w:color w:val="1D4066"/>
                <w:sz w:val="17"/>
              </w:rPr>
              <w:t>目标场所</w:t>
            </w:r>
          </w:p>
        </w:tc>
        <w:tc>
          <w:tcPr>
            <w:tcW w:type="dxa" w:w="2337"/>
            <w:vAlign w:val="center"/>
          </w:tcPr>
          <w:p>
            <w:pPr>
              <w:spacing w:after="40" w:before="40"/>
            </w:pPr>
            <w:r>
              <w:rPr>
                <w:b/>
                <w:color w:val="1D4066"/>
                <w:sz w:val="17"/>
              </w:rPr>
              <w:t>适合的稿件特征</w:t>
            </w:r>
          </w:p>
        </w:tc>
        <w:tc>
          <w:tcPr>
            <w:tcW w:type="dxa" w:w="2337"/>
            <w:vAlign w:val="center"/>
          </w:tcPr>
          <w:p>
            <w:pPr>
              <w:spacing w:after="40" w:before="40"/>
            </w:pPr>
            <w:r>
              <w:rPr>
                <w:b/>
                <w:color w:val="1D4066"/>
                <w:sz w:val="17"/>
              </w:rPr>
              <w:t>现阶段建议</w:t>
            </w:r>
          </w:p>
        </w:tc>
      </w:tr>
      <w:tr>
        <w:tc>
          <w:tcPr>
            <w:tcW w:type="dxa" w:w="2337"/>
            <w:vAlign w:val="center"/>
          </w:tcPr>
          <w:p>
            <w:pPr>
              <w:spacing w:after="40" w:before="40"/>
            </w:pPr>
            <w:r>
              <w:rPr>
                <w:sz w:val="17"/>
              </w:rPr>
              <w:t>主投候选</w:t>
            </w:r>
          </w:p>
        </w:tc>
        <w:tc>
          <w:tcPr>
            <w:tcW w:type="dxa" w:w="2337"/>
            <w:vAlign w:val="center"/>
          </w:tcPr>
          <w:p>
            <w:pPr>
              <w:spacing w:after="40" w:before="40"/>
            </w:pPr>
            <w:r>
              <w:rPr>
                <w:sz w:val="17"/>
              </w:rPr>
              <w:t>IEEE JBHI、MICCAI、ISBI</w:t>
            </w:r>
          </w:p>
        </w:tc>
        <w:tc>
          <w:tcPr>
            <w:tcW w:type="dxa" w:w="2337"/>
            <w:vAlign w:val="center"/>
          </w:tcPr>
          <w:p>
            <w:pPr>
              <w:spacing w:after="40" w:before="40"/>
            </w:pPr>
            <w:r>
              <w:rPr>
                <w:sz w:val="17"/>
              </w:rPr>
              <w:t>严谨医疗任务与可复现实验；可靠性度量/方法+临床意义</w:t>
            </w:r>
          </w:p>
        </w:tc>
        <w:tc>
          <w:tcPr>
            <w:tcW w:type="dxa" w:w="2337"/>
            <w:vAlign w:val="center"/>
          </w:tcPr>
          <w:p>
            <w:pPr>
              <w:spacing w:after="40" w:before="40"/>
            </w:pPr>
            <w:r>
              <w:rPr>
                <w:sz w:val="17"/>
              </w:rPr>
              <w:t>现实的第一阶段对齐目标；以实际创新和截止日期再决定</w:t>
            </w:r>
          </w:p>
        </w:tc>
      </w:tr>
      <w:tr>
        <w:tc>
          <w:tcPr>
            <w:tcW w:type="dxa" w:w="2337"/>
            <w:vAlign w:val="center"/>
          </w:tcPr>
          <w:p>
            <w:pPr>
              <w:spacing w:after="40" w:before="40"/>
            </w:pPr>
            <w:r>
              <w:rPr>
                <w:sz w:val="17"/>
              </w:rPr>
              <w:t>高目标期刊</w:t>
            </w:r>
          </w:p>
        </w:tc>
        <w:tc>
          <w:tcPr>
            <w:tcW w:type="dxa" w:w="2337"/>
            <w:vAlign w:val="center"/>
          </w:tcPr>
          <w:p>
            <w:pPr>
              <w:spacing w:after="40" w:before="40"/>
            </w:pPr>
            <w:r>
              <w:rPr>
                <w:sz w:val="17"/>
              </w:rPr>
              <w:t>Medical Image Analysis、IEEE TMI</w:t>
            </w:r>
          </w:p>
        </w:tc>
        <w:tc>
          <w:tcPr>
            <w:tcW w:type="dxa" w:w="2337"/>
            <w:vAlign w:val="center"/>
          </w:tcPr>
          <w:p>
            <w:pPr>
              <w:spacing w:after="40" w:before="40"/>
            </w:pPr>
            <w:r>
              <w:rPr>
                <w:sz w:val="17"/>
              </w:rPr>
              <w:t>跨中心强外部验证、明确方法创新、充分消融与统计</w:t>
            </w:r>
          </w:p>
        </w:tc>
        <w:tc>
          <w:tcPr>
            <w:tcW w:type="dxa" w:w="2337"/>
            <w:vAlign w:val="center"/>
          </w:tcPr>
          <w:p>
            <w:pPr>
              <w:spacing w:after="40" w:before="40"/>
            </w:pPr>
            <w:r>
              <w:rPr>
                <w:sz w:val="17"/>
              </w:rPr>
              <w:t>需要更大样本/多数据集/临床专家支持后冲击</w:t>
            </w:r>
          </w:p>
        </w:tc>
      </w:tr>
      <w:tr>
        <w:tc>
          <w:tcPr>
            <w:tcW w:type="dxa" w:w="2337"/>
            <w:vAlign w:val="center"/>
          </w:tcPr>
          <w:p>
            <w:pPr>
              <w:spacing w:after="40" w:before="40"/>
            </w:pPr>
            <w:r>
              <w:rPr>
                <w:sz w:val="17"/>
              </w:rPr>
              <w:t>方法顶会</w:t>
            </w:r>
          </w:p>
        </w:tc>
        <w:tc>
          <w:tcPr>
            <w:tcW w:type="dxa" w:w="2337"/>
            <w:vAlign w:val="center"/>
          </w:tcPr>
          <w:p>
            <w:pPr>
              <w:spacing w:after="40" w:before="40"/>
            </w:pPr>
            <w:r>
              <w:rPr>
                <w:sz w:val="17"/>
              </w:rPr>
              <w:t>CVPR、ECCV、ICCV</w:t>
            </w:r>
          </w:p>
        </w:tc>
        <w:tc>
          <w:tcPr>
            <w:tcW w:type="dxa" w:w="2337"/>
            <w:vAlign w:val="center"/>
          </w:tcPr>
          <w:p>
            <w:pPr>
              <w:spacing w:after="40" w:before="40"/>
            </w:pPr>
            <w:r>
              <w:rPr>
                <w:sz w:val="17"/>
              </w:rPr>
              <w:t>具有通用视觉域泛化理论或新算法，不仅是应用实验</w:t>
            </w:r>
          </w:p>
        </w:tc>
        <w:tc>
          <w:tcPr>
            <w:tcW w:type="dxa" w:w="2337"/>
            <w:vAlign w:val="center"/>
          </w:tcPr>
          <w:p>
            <w:pPr>
              <w:spacing w:after="40" w:before="40"/>
            </w:pPr>
            <w:r>
              <w:rPr>
                <w:sz w:val="17"/>
              </w:rPr>
              <w:t>若可靠性方法在多个数据和任务稳定成立时再考虑</w:t>
            </w:r>
          </w:p>
        </w:tc>
      </w:tr>
      <w:tr>
        <w:tc>
          <w:tcPr>
            <w:tcW w:type="dxa" w:w="2337"/>
            <w:vAlign w:val="center"/>
          </w:tcPr>
          <w:p>
            <w:pPr>
              <w:spacing w:after="40" w:before="40"/>
            </w:pPr>
            <w:r>
              <w:rPr>
                <w:sz w:val="17"/>
              </w:rPr>
              <w:t>长期高目标</w:t>
            </w:r>
          </w:p>
        </w:tc>
        <w:tc>
          <w:tcPr>
            <w:tcW w:type="dxa" w:w="2337"/>
            <w:vAlign w:val="center"/>
          </w:tcPr>
          <w:p>
            <w:pPr>
              <w:spacing w:after="40" w:before="40"/>
            </w:pPr>
            <w:r>
              <w:rPr>
                <w:sz w:val="17"/>
              </w:rPr>
              <w:t>IEEE TPAMI、IEEE TIP</w:t>
            </w:r>
          </w:p>
        </w:tc>
        <w:tc>
          <w:tcPr>
            <w:tcW w:type="dxa" w:w="2337"/>
            <w:vAlign w:val="center"/>
          </w:tcPr>
          <w:p>
            <w:pPr>
              <w:spacing w:after="40" w:before="40"/>
            </w:pPr>
            <w:r>
              <w:rPr>
                <w:sz w:val="17"/>
              </w:rPr>
              <w:t>更普遍的建模新意、扎实数学与跨任务证据</w:t>
            </w:r>
          </w:p>
        </w:tc>
        <w:tc>
          <w:tcPr>
            <w:tcW w:type="dxa" w:w="2337"/>
            <w:vAlign w:val="center"/>
          </w:tcPr>
          <w:p>
            <w:pPr>
              <w:spacing w:after="40" w:before="40"/>
            </w:pPr>
            <w:r>
              <w:rPr>
                <w:sz w:val="17"/>
              </w:rPr>
              <w:t>不宜仅凭现有两个公开集直接设为首投</w:t>
            </w:r>
          </w:p>
        </w:tc>
      </w:tr>
    </w:tbl>
    <w:p>
      <w:pPr>
        <w:spacing w:after="20"/>
      </w:pPr>
    </w:p>
    <w:p>
      <w:r>
        <w:t>论文主线建议是 “Benchmark &amp; Measurement → Concept Failure Analysis → Reliability-Aware Improvement”。只完成公开集复现通常不足以冲击 TMI/MIA；如果医院数据、跨中心外部验证、临床概念专家复核和统计设计能补齐，投稿质量会显著提升。会议与期刊的投稿窗口、版面/开放获取要求需在形成完整结果后核验，不在本报告虚构确定日期或录用概率。</w:t>
      </w:r>
    </w:p>
    <w:p>
      <w:pPr>
        <w:pStyle w:val="Heading1"/>
      </w:pPr>
      <w:r>
        <w:t>11. 科研风险与决策节点</w:t>
      </w:r>
    </w:p>
    <w:tbl>
      <w:tblPr>
        <w:tblStyle w:val="LightShading-Accent1"/>
        <w:tblW w:type="auto" w:w="0"/>
        <w:jc w:val="center"/>
        <w:tblLook w:firstColumn="1" w:firstRow="1" w:lastColumn="0" w:lastRow="0" w:noHBand="0" w:noVBand="1" w:val="04A0"/>
      </w:tblPr>
      <w:tblGrid>
        <w:gridCol w:w="3116"/>
        <w:gridCol w:w="3116"/>
        <w:gridCol w:w="3116"/>
      </w:tblGrid>
      <w:tr>
        <w:tc>
          <w:tcPr>
            <w:tcW w:type="dxa" w:w="3116"/>
            <w:vAlign w:val="center"/>
          </w:tcPr>
          <w:p>
            <w:pPr>
              <w:spacing w:after="40" w:before="40"/>
            </w:pPr>
            <w:r>
              <w:rPr>
                <w:b/>
                <w:color w:val="1D4066"/>
                <w:sz w:val="17"/>
              </w:rPr>
              <w:t>风险等级</w:t>
            </w:r>
          </w:p>
        </w:tc>
        <w:tc>
          <w:tcPr>
            <w:tcW w:type="dxa" w:w="3116"/>
            <w:vAlign w:val="center"/>
          </w:tcPr>
          <w:p>
            <w:pPr>
              <w:spacing w:after="40" w:before="40"/>
            </w:pPr>
            <w:r>
              <w:rPr>
                <w:b/>
                <w:color w:val="1D4066"/>
                <w:sz w:val="17"/>
              </w:rPr>
              <w:t>风险</w:t>
            </w:r>
          </w:p>
        </w:tc>
        <w:tc>
          <w:tcPr>
            <w:tcW w:type="dxa" w:w="3116"/>
            <w:vAlign w:val="center"/>
          </w:tcPr>
          <w:p>
            <w:pPr>
              <w:spacing w:after="40" w:before="40"/>
            </w:pPr>
            <w:r>
              <w:rPr>
                <w:b/>
                <w:color w:val="1D4066"/>
                <w:sz w:val="17"/>
              </w:rPr>
              <w:t>阻断或缓解措施</w:t>
            </w:r>
          </w:p>
        </w:tc>
      </w:tr>
      <w:tr>
        <w:tc>
          <w:tcPr>
            <w:tcW w:type="dxa" w:w="3116"/>
            <w:vAlign w:val="center"/>
          </w:tcPr>
          <w:p>
            <w:pPr>
              <w:spacing w:after="40" w:before="40"/>
            </w:pPr>
            <w:r>
              <w:rPr>
                <w:sz w:val="17"/>
              </w:rPr>
              <w:t>高</w:t>
            </w:r>
          </w:p>
        </w:tc>
        <w:tc>
          <w:tcPr>
            <w:tcW w:type="dxa" w:w="3116"/>
            <w:vAlign w:val="center"/>
          </w:tcPr>
          <w:p>
            <w:pPr>
              <w:spacing w:after="40" w:before="40"/>
            </w:pPr>
            <w:r>
              <w:rPr>
                <w:sz w:val="17"/>
              </w:rPr>
              <w:t>CoFiDA-M 等已有相关思想，创新点易重复</w:t>
            </w:r>
          </w:p>
        </w:tc>
        <w:tc>
          <w:tcPr>
            <w:tcW w:type="dxa" w:w="3116"/>
            <w:vAlign w:val="center"/>
          </w:tcPr>
          <w:p>
            <w:pPr>
              <w:spacing w:after="40" w:before="40"/>
            </w:pPr>
            <w:r>
              <w:rPr>
                <w:sz w:val="17"/>
              </w:rPr>
              <w:t>优先复现其可比设置并建立差异化假设；不要抢先宣称首创</w:t>
            </w:r>
          </w:p>
        </w:tc>
      </w:tr>
      <w:tr>
        <w:tc>
          <w:tcPr>
            <w:tcW w:type="dxa" w:w="3116"/>
            <w:vAlign w:val="center"/>
          </w:tcPr>
          <w:p>
            <w:pPr>
              <w:spacing w:after="40" w:before="40"/>
            </w:pPr>
            <w:r>
              <w:rPr>
                <w:sz w:val="17"/>
              </w:rPr>
              <w:t>高</w:t>
            </w:r>
          </w:p>
        </w:tc>
        <w:tc>
          <w:tcPr>
            <w:tcW w:type="dxa" w:w="3116"/>
            <w:vAlign w:val="center"/>
          </w:tcPr>
          <w:p>
            <w:pPr>
              <w:spacing w:after="40" w:before="40"/>
            </w:pPr>
            <w:r>
              <w:rPr>
                <w:sz w:val="17"/>
              </w:rPr>
              <w:t>Derm7pt 同图重复引用或病例层级未知</w:t>
            </w:r>
          </w:p>
        </w:tc>
        <w:tc>
          <w:tcPr>
            <w:tcW w:type="dxa" w:w="3116"/>
            <w:vAlign w:val="center"/>
          </w:tcPr>
          <w:p>
            <w:pPr>
              <w:spacing w:after="40" w:before="40"/>
            </w:pPr>
            <w:r>
              <w:rPr>
                <w:sz w:val="17"/>
              </w:rPr>
              <w:t>跨 split 共享文件硬阻塞；case != patient 的限制写入论文</w:t>
            </w:r>
          </w:p>
        </w:tc>
      </w:tr>
      <w:tr>
        <w:tc>
          <w:tcPr>
            <w:tcW w:type="dxa" w:w="3116"/>
            <w:vAlign w:val="center"/>
          </w:tcPr>
          <w:p>
            <w:pPr>
              <w:spacing w:after="40" w:before="40"/>
            </w:pPr>
            <w:r>
              <w:rPr>
                <w:sz w:val="17"/>
              </w:rPr>
              <w:t>高</w:t>
            </w:r>
          </w:p>
        </w:tc>
        <w:tc>
          <w:tcPr>
            <w:tcW w:type="dxa" w:w="3116"/>
            <w:vAlign w:val="center"/>
          </w:tcPr>
          <w:p>
            <w:pPr>
              <w:spacing w:after="40" w:before="40"/>
            </w:pPr>
            <w:r>
              <w:rPr>
                <w:sz w:val="17"/>
              </w:rPr>
              <w:t>PAD MEL 只有 52 张，区间可能宽</w:t>
            </w:r>
          </w:p>
        </w:tc>
        <w:tc>
          <w:tcPr>
            <w:tcW w:type="dxa" w:w="3116"/>
            <w:vAlign w:val="center"/>
          </w:tcPr>
          <w:p>
            <w:pPr>
              <w:spacing w:after="40" w:before="40"/>
            </w:pPr>
            <w:r>
              <w:rPr>
                <w:sz w:val="17"/>
              </w:rPr>
              <w:t>患者聚类统计+全量测试+预注册阈值；不夸大细小性能优势</w:t>
            </w:r>
          </w:p>
        </w:tc>
      </w:tr>
      <w:tr>
        <w:tc>
          <w:tcPr>
            <w:tcW w:type="dxa" w:w="3116"/>
            <w:vAlign w:val="center"/>
          </w:tcPr>
          <w:p>
            <w:pPr>
              <w:spacing w:after="40" w:before="40"/>
            </w:pPr>
            <w:r>
              <w:rPr>
                <w:sz w:val="17"/>
              </w:rPr>
              <w:t>高</w:t>
            </w:r>
          </w:p>
        </w:tc>
        <w:tc>
          <w:tcPr>
            <w:tcW w:type="dxa" w:w="3116"/>
            <w:vAlign w:val="center"/>
          </w:tcPr>
          <w:p>
            <w:pPr>
              <w:spacing w:after="40" w:before="40"/>
            </w:pPr>
            <w:r>
              <w:rPr>
                <w:sz w:val="17"/>
              </w:rPr>
              <w:t>七点概念的临床照片可观测性不确定</w:t>
            </w:r>
          </w:p>
        </w:tc>
        <w:tc>
          <w:tcPr>
            <w:tcW w:type="dxa" w:w="3116"/>
            <w:vAlign w:val="center"/>
          </w:tcPr>
          <w:p>
            <w:pPr>
              <w:spacing w:after="40" w:before="40"/>
            </w:pPr>
            <w:r>
              <w:rPr>
                <w:sz w:val="17"/>
              </w:rPr>
              <w:t>区分皮肤镜定义的 GT 与临床照片可见概念；必要时专家重标</w:t>
            </w:r>
          </w:p>
        </w:tc>
      </w:tr>
      <w:tr>
        <w:tc>
          <w:tcPr>
            <w:tcW w:type="dxa" w:w="3116"/>
            <w:vAlign w:val="center"/>
          </w:tcPr>
          <w:p>
            <w:pPr>
              <w:spacing w:after="40" w:before="40"/>
            </w:pPr>
            <w:r>
              <w:rPr>
                <w:sz w:val="17"/>
              </w:rPr>
              <w:t>中</w:t>
            </w:r>
          </w:p>
        </w:tc>
        <w:tc>
          <w:tcPr>
            <w:tcW w:type="dxa" w:w="3116"/>
            <w:vAlign w:val="center"/>
          </w:tcPr>
          <w:p>
            <w:pPr>
              <w:spacing w:after="40" w:before="40"/>
            </w:pPr>
            <w:r>
              <w:rPr>
                <w:sz w:val="17"/>
              </w:rPr>
              <w:t>预训练模型可能包含测试集图像</w:t>
            </w:r>
          </w:p>
        </w:tc>
        <w:tc>
          <w:tcPr>
            <w:tcW w:type="dxa" w:w="3116"/>
            <w:vAlign w:val="center"/>
          </w:tcPr>
          <w:p>
            <w:pPr>
              <w:spacing w:after="40" w:before="40"/>
            </w:pPr>
            <w:r>
              <w:rPr>
                <w:sz w:val="17"/>
              </w:rPr>
              <w:t>公开预训练来源、去重/重叠审计、作为潜在污染限制</w:t>
            </w:r>
          </w:p>
        </w:tc>
      </w:tr>
      <w:tr>
        <w:tc>
          <w:tcPr>
            <w:tcW w:type="dxa" w:w="3116"/>
            <w:vAlign w:val="center"/>
          </w:tcPr>
          <w:p>
            <w:pPr>
              <w:spacing w:after="40" w:before="40"/>
            </w:pPr>
            <w:r>
              <w:rPr>
                <w:sz w:val="17"/>
              </w:rPr>
              <w:t>中</w:t>
            </w:r>
          </w:p>
        </w:tc>
        <w:tc>
          <w:tcPr>
            <w:tcW w:type="dxa" w:w="3116"/>
            <w:vAlign w:val="center"/>
          </w:tcPr>
          <w:p>
            <w:pPr>
              <w:spacing w:after="40" w:before="40"/>
            </w:pPr>
            <w:r>
              <w:rPr>
                <w:sz w:val="17"/>
              </w:rPr>
              <w:t>公开集样本和来源有限</w:t>
            </w:r>
          </w:p>
        </w:tc>
        <w:tc>
          <w:tcPr>
            <w:tcW w:type="dxa" w:w="3116"/>
            <w:vAlign w:val="center"/>
          </w:tcPr>
          <w:p>
            <w:pPr>
              <w:spacing w:after="40" w:before="40"/>
            </w:pPr>
            <w:r>
              <w:rPr>
                <w:sz w:val="17"/>
              </w:rPr>
              <w:t>争取独立医院队列、DDI/其他站点额外外部验证</w:t>
            </w:r>
          </w:p>
        </w:tc>
      </w:tr>
      <w:tr>
        <w:tc>
          <w:tcPr>
            <w:tcW w:type="dxa" w:w="3116"/>
            <w:vAlign w:val="center"/>
          </w:tcPr>
          <w:p>
            <w:pPr>
              <w:spacing w:after="40" w:before="40"/>
            </w:pPr>
            <w:r>
              <w:rPr>
                <w:sz w:val="17"/>
              </w:rPr>
              <w:t>中</w:t>
            </w:r>
          </w:p>
        </w:tc>
        <w:tc>
          <w:tcPr>
            <w:tcW w:type="dxa" w:w="3116"/>
            <w:vAlign w:val="center"/>
          </w:tcPr>
          <w:p>
            <w:pPr>
              <w:spacing w:after="40" w:before="40"/>
            </w:pPr>
            <w:r>
              <w:rPr>
                <w:sz w:val="17"/>
              </w:rPr>
              <w:t>PAD 元数据存在结构性缺失与 UNK</w:t>
            </w:r>
          </w:p>
        </w:tc>
        <w:tc>
          <w:tcPr>
            <w:tcW w:type="dxa" w:w="3116"/>
            <w:vAlign w:val="center"/>
          </w:tcPr>
          <w:p>
            <w:pPr>
              <w:spacing w:after="40" w:before="40"/>
            </w:pPr>
            <w:r>
              <w:rPr>
                <w:sz w:val="17"/>
              </w:rPr>
              <w:t>第一阶段 image-only；缺失不默认插补或删除</w:t>
            </w:r>
          </w:p>
        </w:tc>
      </w:tr>
    </w:tbl>
    <w:p>
      <w:pPr>
        <w:spacing w:after="20"/>
      </w:pPr>
    </w:p>
    <w:p>
      <w:r>
        <w:t>阶段一转入阶段二的建议硬门槛：E1–E5 完整且三种子可信；E6 概念错误可重复测量；E7 中概念误差与域外误诊存在经统计支持的关系；强基线和潜在数据污染已评估。只有符合这些条件，才进入自研可靠性方法设计。</w:t>
      </w:r>
    </w:p>
    <w:p>
      <w:pPr>
        <w:pStyle w:val="Heading1"/>
      </w:pPr>
      <w:r>
        <w:t>12. 下一轮导师汇报建议</w:t>
      </w:r>
    </w:p>
    <w:p>
      <w:r>
        <w:t>建议将本报告浓缩成 8–10 页 PPT：研究问题与全球定位（2 页）、已有代表工作与本课题差异（2 页）、已完成审计数据和风险（2 页）、A/B/C 实验矩阵（1 页）、双周验收与服务器策略（1 页）、资源需求与导师决策（1–2 页）。</w:t>
      </w:r>
    </w:p>
    <w:p>
      <w:r>
        <w:t>最值得向导师提出的三项资源需求：① 概念标注的皮肤科医生复核支持；② 可获取的外部临床/医院数据及使用许可；③ 多种子训练的服务器 GPU 与数据管理条件。当前最重要的里程碑不是尽快发表“最好 AUROC”，而是先形成能让他人复现实验现象并排查泄漏的证据链。</w:t>
      </w:r>
    </w:p>
    <w:p>
      <w:pPr>
        <w:pStyle w:val="Heading1"/>
      </w:pPr>
      <w:r>
        <w:t>附录 A｜交给 Codex 的极简实施验收单</w:t>
      </w:r>
    </w:p>
    <w:p>
      <w:r>
        <w:t>Implement frozen Protocol v0.1 (no architecture redesign). Branch feature/protocol-v0.1. Deliver A/B/C manifests, cross-split file leakage gate, source-validation-only threshold utilities, patient-cluster bootstrap metrics, ResNet50 seed-42 smoke test, structured run registry and tests. Do NOT run full training or use PAD to tune. Report only PASS/FAIL, tests, warnings, SHA and blockers; commit/push feature branch, never main. Use SKINCANCER_DATA_ROOT for local paths. No raw/private data or weights in Git.</w:t>
      </w:r>
    </w:p>
    <w:p>
      <w:pPr>
        <w:pStyle w:val="Heading1"/>
      </w:pPr>
      <w:r>
        <w:t>参考文献与核验入口</w:t>
      </w:r>
    </w:p>
    <w:p>
      <w:pPr>
        <w:spacing w:after="80"/>
      </w:pPr>
      <w:r>
        <w:rPr>
          <w:sz w:val="18"/>
        </w:rPr>
        <w:t>[1] IARC/WHO. GLOBOCAN 2022: Melanoma of Skin Factsheet. https://gco.iarc.who.int/media/globocan/factsheets/cancers/16-melanoma-of-skin-fact-sheet.pdf</w:t>
      </w:r>
    </w:p>
    <w:p>
      <w:pPr>
        <w:spacing w:after="80"/>
      </w:pPr>
      <w:r>
        <w:rPr>
          <w:sz w:val="18"/>
        </w:rPr>
        <w:t>[2] Prospective multicenter study using AI to improve dermoscopic melanoma diagnosis in patient care. Communications Medicine, 2024. https://www.nature.com/articles/s43856-024-00598-5</w:t>
      </w:r>
    </w:p>
    <w:p>
      <w:pPr>
        <w:spacing w:after="80"/>
      </w:pPr>
      <w:r>
        <w:rPr>
          <w:sz w:val="18"/>
        </w:rPr>
        <w:t>[3] PanDerm: A multimodal vision foundation model for clinical dermatology. Nature Medicine, 2025. https://doi.org/10.1038/s41591-025-03747-y</w:t>
      </w:r>
    </w:p>
    <w:p>
      <w:pPr>
        <w:spacing w:after="80"/>
      </w:pPr>
      <w:r>
        <w:rPr>
          <w:sz w:val="18"/>
        </w:rPr>
        <w:t>[4] Kim et al. Transparent medical image AI via an image–text foundation model grounded in medical literature. Nature Medicine, 2024. https://doi.org/10.1038/s41591-024-02887-x</w:t>
      </w:r>
    </w:p>
    <w:p>
      <w:pPr>
        <w:spacing w:after="80"/>
      </w:pPr>
      <w:r>
        <w:rPr>
          <w:sz w:val="18"/>
        </w:rPr>
        <w:t>[5] Yan et al. MAKE: Multi-Aspect Knowledge-Enhanced Vision-Language Pretraining for Zero-shot Dermatological Assessment. MICCAI 2025. https://papers.miccai.org/miccai-2025/0520-Paper0976.html</w:t>
      </w:r>
    </w:p>
    <w:p>
      <w:pPr>
        <w:spacing w:after="80"/>
      </w:pPr>
      <w:r>
        <w:rPr>
          <w:sz w:val="18"/>
        </w:rPr>
        <w:t>[6] Sultana et al. CoFiDA-M: Concept-Aware Feature Modulation for Cross-Domain Adaptation with Image-Only Inference. CVPR 2026. https://openaccess.thecvf.com/content/CVPR2026/html/Sultana_CoFiDA-M_Concept-Aware_Feature_Modulation_for_Cross-Domain_Adaptation_with_Image-Only_Inference_CVPR_2026_paper.html</w:t>
      </w:r>
    </w:p>
    <w:p>
      <w:pPr>
        <w:spacing w:after="80"/>
      </w:pPr>
      <w:r>
        <w:rPr>
          <w:sz w:val="18"/>
        </w:rPr>
        <w:t>[7] Zhu et al. Enhancing the Interpretation of Skin Lesion Diagnosis: Concept Adaptive Fine-Tuning of Vision-Language Models. IEEE JBHI, 2026. https://doi.org/10.1109/JBHI.2025.3606881</w:t>
      </w:r>
    </w:p>
    <w:p>
      <w:pPr>
        <w:spacing w:after="80"/>
      </w:pPr>
      <w:r>
        <w:rPr>
          <w:sz w:val="18"/>
        </w:rPr>
        <w:t>[8] Automated triage of cancer-suspicious skin lesions with 3D total-body photography. npj Digital Medicine, 2025. https://www.nature.com/articles/s41746-025-02070-7</w:t>
      </w:r>
    </w:p>
    <w:p>
      <w:pPr>
        <w:spacing w:after="80"/>
      </w:pPr>
      <w:r>
        <w:rPr>
          <w:sz w:val="18"/>
        </w:rPr>
        <w:t>[9] Kawahara et al. 7-Point Checklist and Skin Lesion Classification using Multi-Task Multi-Modal Neural Nets. IEEE JBHI, 2018. https://doi.org/10.1109/JBHI.2018.2824327</w:t>
      </w:r>
    </w:p>
    <w:p>
      <w:pPr>
        <w:spacing w:after="80"/>
      </w:pPr>
      <w:r>
        <w:rPr>
          <w:sz w:val="18"/>
        </w:rPr>
        <w:t>[10] Pacheco et al. PAD-UFES-20: A skin lesion dataset composed of patient data and clinical images collected from smartphones. Data in Brief, 2020. https://doi.org/10.1016/j.dib.2020.106221</w:t>
      </w:r>
    </w:p>
    <w:p>
      <w:pPr>
        <w:spacing w:after="80"/>
      </w:pPr>
      <w:r>
        <w:rPr>
          <w:sz w:val="18"/>
        </w:rPr>
        <w:t>[11] BiomedCLIP: a multimodal biomedical foundation model pretrained from fifteen million scientific image-text pairs. 2023. https://arxiv.org/abs/2303.00915</w:t>
      </w:r>
    </w:p>
    <w:p>
      <w:pPr>
        <w:spacing w:after="80"/>
      </w:pPr>
      <w:r>
        <w:rPr>
          <w:sz w:val="18"/>
        </w:rPr>
        <w:t>[12] DDI benchmark / Stanford AIMI. https://ddi-dataset.github.io/index.html</w:t>
      </w:r>
    </w:p>
    <w:p>
      <w:pPr>
        <w:spacing w:after="80"/>
      </w:pPr>
      <w:r>
        <w:rPr>
          <w:sz w:val="18"/>
        </w:rPr>
        <w:t>[13] Project Data Audit v0.1. https://github.com/LIN-LOUIS/SkinCancer-AI-Research/blob/research/data-audit-v0.1/reports/data_audit/v0.1/audit_report.md</w:t>
      </w:r>
    </w:p>
    <w:sectPr w:rsidR="00FC693F" w:rsidRPr="0006063C" w:rsidSect="00034616">
      <w:headerReference w:type="default" r:id="rId9"/>
      <w:footerReference w:type="default" r:id="rId10"/>
      <w:pgSz w:w="12240" w:h="15840"/>
      <w:pgMar w:top="1304" w:right="1446" w:bottom="1247" w:left="1446" w:header="539"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科研内部讨论稿  ·  2026-10-08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SKINCANCER-AI-RESEARCH  /  RESEARCH REPORT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31" w:lineRule="auto"/>
    </w:pPr>
    <w:rPr>
      <w:rFonts w:ascii="宋体" w:hAnsi="宋体" w:eastAsia="宋体"/>
      <w:color w:val="28344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微软雅黑" w:hAnsi="微软雅黑" w:eastAsia="微软雅黑"/>
      <w:b/>
      <w:bCs/>
      <w:color w:val="234568"/>
      <w:sz w:val="31"/>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微软雅黑" w:hAnsi="微软雅黑" w:eastAsia="微软雅黑"/>
      <w:b/>
      <w:bCs/>
      <w:color w:val="2C5571"/>
      <w:sz w:val="24"/>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微软雅黑" w:hAnsi="微软雅黑" w:eastAsia="微软雅黑"/>
      <w:b/>
      <w:bCs/>
      <w:color w:val="395B7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微软雅黑" w:hAnsi="微软雅黑" w:eastAsia="微软雅黑"/>
      <w:b/>
      <w:color w:val="1E3A5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皮肤癌跨域诊断中临床概念可靠性研究 — Research Report v0.1</dc:title>
  <dc:subject>数据审计、全球文献现状、研究方案、首阶段基线验收</dc:subject>
  <dc:creator>SkinCancer-AI-Research</dc:creator>
  <cp:keywords/>
  <dc:description>generated by python-docx</dc:description>
  <cp:lastModifiedBy/>
  <cp:revision>1</cp:revision>
  <dcterms:created xsi:type="dcterms:W3CDTF">2013-12-23T23:15:00Z</dcterms:created>
  <dcterms:modified xsi:type="dcterms:W3CDTF">2013-12-23T23:15:00Z</dcterms:modified>
  <cp:category/>
</cp:coreProperties>
</file>