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2648" w14:textId="222E1CDA" w:rsidR="009B5528" w:rsidRPr="009B5528" w:rsidRDefault="009B5528" w:rsidP="009B5528">
      <w:pPr>
        <w:spacing w:line="480" w:lineRule="auto"/>
        <w:ind w:firstLine="284"/>
        <w:rPr>
          <w:rFonts w:ascii="Times New Roman" w:hAnsi="Times New Roman" w:cs="Times New Roman"/>
          <w:b/>
          <w:bCs/>
          <w:color w:val="000000" w:themeColor="text1"/>
          <w:lang w:val="en-US"/>
        </w:rPr>
      </w:pPr>
      <w:r w:rsidRPr="009B5528">
        <w:rPr>
          <w:rFonts w:ascii="Times New Roman" w:hAnsi="Times New Roman" w:cs="Times New Roman"/>
          <w:b/>
          <w:bCs/>
          <w:color w:val="000000" w:themeColor="text1"/>
          <w:lang w:val="en-US"/>
        </w:rPr>
        <w:t>Partitive follow up results</w:t>
      </w:r>
    </w:p>
    <w:p w14:paraId="739167B7" w14:textId="353810EB" w:rsidR="009B5528" w:rsidRDefault="009B5528" w:rsidP="009B5528">
      <w:pPr>
        <w:spacing w:line="480" w:lineRule="auto"/>
        <w:ind w:firstLine="284"/>
        <w:rPr>
          <w:rFonts w:ascii="Times New Roman" w:hAnsi="Times New Roman" w:cs="Times New Roman"/>
          <w:color w:val="000000" w:themeColor="text1"/>
          <w:lang w:val="en-US"/>
        </w:rPr>
      </w:pPr>
      <w:r w:rsidRPr="00DD6540">
        <w:rPr>
          <w:rFonts w:ascii="Times New Roman" w:hAnsi="Times New Roman" w:cs="Times New Roman"/>
          <w:color w:val="000000" w:themeColor="text1"/>
          <w:lang w:val="en-US"/>
        </w:rPr>
        <w:t xml:space="preserve">Five participants were removed because more than 20% of their answers to control items were incorrect. Figure </w:t>
      </w:r>
      <w:r w:rsidR="00861B0B">
        <w:rPr>
          <w:rFonts w:ascii="Times New Roman" w:hAnsi="Times New Roman" w:cs="Times New Roman"/>
          <w:color w:val="000000" w:themeColor="text1"/>
          <w:lang w:val="en-US"/>
        </w:rPr>
        <w:t>1</w:t>
      </w:r>
      <w:r w:rsidRPr="00DD6540">
        <w:rPr>
          <w:rFonts w:ascii="Times New Roman" w:hAnsi="Times New Roman" w:cs="Times New Roman"/>
          <w:color w:val="000000" w:themeColor="text1"/>
          <w:lang w:val="en-US"/>
        </w:rPr>
        <w:t xml:space="preserve"> shows the percentages of ‘Yes’ responses for each scale and condition by probe type. The mean accuracy of the control items was 92% (control yes: </w:t>
      </w:r>
      <w:r w:rsidR="0031308B">
        <w:rPr>
          <w:rFonts w:ascii="Times New Roman" w:hAnsi="Times New Roman" w:cs="Times New Roman"/>
          <w:color w:val="000000" w:themeColor="text1"/>
          <w:lang w:val="en-US"/>
        </w:rPr>
        <w:t>90</w:t>
      </w:r>
      <w:r w:rsidRPr="00DD6540">
        <w:rPr>
          <w:rFonts w:ascii="Times New Roman" w:hAnsi="Times New Roman" w:cs="Times New Roman"/>
          <w:color w:val="000000" w:themeColor="text1"/>
          <w:lang w:val="en-US"/>
        </w:rPr>
        <w:t>%, control no: 9</w:t>
      </w:r>
      <w:r w:rsidR="0031308B">
        <w:rPr>
          <w:rFonts w:ascii="Times New Roman" w:hAnsi="Times New Roman" w:cs="Times New Roman"/>
          <w:color w:val="000000" w:themeColor="text1"/>
          <w:lang w:val="en-US"/>
        </w:rPr>
        <w:t>4</w:t>
      </w:r>
      <w:r w:rsidRPr="00DD6540">
        <w:rPr>
          <w:rFonts w:ascii="Times New Roman" w:hAnsi="Times New Roman" w:cs="Times New Roman"/>
          <w:color w:val="000000" w:themeColor="text1"/>
          <w:lang w:val="en-US"/>
        </w:rPr>
        <w:t xml:space="preserve">%). </w:t>
      </w:r>
    </w:p>
    <w:p w14:paraId="2C44C3AE" w14:textId="7EEA2845" w:rsidR="009B5528" w:rsidRPr="00DD6540" w:rsidRDefault="00861B0B" w:rsidP="00861B0B">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Figure 1</w:t>
      </w:r>
    </w:p>
    <w:p w14:paraId="6513A8C6" w14:textId="2593F134" w:rsidR="009B5528" w:rsidRDefault="009B5528" w:rsidP="009B5528">
      <w:pPr>
        <w:spacing w:line="480" w:lineRule="auto"/>
        <w:rPr>
          <w:rFonts w:ascii="Times New Roman" w:hAnsi="Times New Roman" w:cs="Times New Roman"/>
          <w:color w:val="000000" w:themeColor="text1"/>
          <w:lang w:val="en-US"/>
        </w:rPr>
      </w:pPr>
      <w:r w:rsidRPr="00DD6540">
        <w:rPr>
          <w:rFonts w:ascii="Times New Roman" w:hAnsi="Times New Roman" w:cs="Times New Roman"/>
          <w:noProof/>
          <w:color w:val="000000" w:themeColor="text1"/>
          <w:lang w:eastAsia="en-GB"/>
        </w:rPr>
        <w:drawing>
          <wp:inline distT="0" distB="0" distL="0" distR="0" wp14:anchorId="2A8DAA62" wp14:editId="13C61A49">
            <wp:extent cx="5731082" cy="2456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082" cy="2456178"/>
                    </a:xfrm>
                    <a:prstGeom prst="rect">
                      <a:avLst/>
                    </a:prstGeom>
                  </pic:spPr>
                </pic:pic>
              </a:graphicData>
            </a:graphic>
          </wp:inline>
        </w:drawing>
      </w:r>
    </w:p>
    <w:p w14:paraId="3E3EA778" w14:textId="77777777" w:rsidR="009B5528" w:rsidRPr="00DD6540" w:rsidRDefault="009B5528" w:rsidP="009B5528">
      <w:pPr>
        <w:spacing w:line="480" w:lineRule="auto"/>
        <w:ind w:firstLine="284"/>
        <w:rPr>
          <w:rFonts w:ascii="Times New Roman" w:hAnsi="Times New Roman" w:cs="Times New Roman"/>
          <w:color w:val="000000" w:themeColor="text1"/>
          <w:lang w:val="en-US"/>
        </w:rPr>
      </w:pPr>
    </w:p>
    <w:p w14:paraId="04AB83E2" w14:textId="44A12579" w:rsidR="009B5528" w:rsidRPr="00DD6540" w:rsidRDefault="009B5528" w:rsidP="009B5528">
      <w:pPr>
        <w:spacing w:line="480" w:lineRule="auto"/>
        <w:ind w:firstLine="284"/>
        <w:rPr>
          <w:rFonts w:ascii="Times New Roman" w:hAnsi="Times New Roman" w:cs="Times New Roman"/>
          <w:color w:val="000000" w:themeColor="text1"/>
          <w:lang w:val="en-US"/>
        </w:rPr>
      </w:pPr>
      <w:r w:rsidRPr="00DD6540">
        <w:rPr>
          <w:rFonts w:ascii="Times New Roman" w:hAnsi="Times New Roman" w:cs="Times New Roman"/>
          <w:color w:val="000000" w:themeColor="text1"/>
          <w:lang w:val="en-US"/>
        </w:rPr>
        <w:t xml:space="preserve">We coded the ‘Yes’ response in the ‘not Alt’ condition and the ‘No’ response in the ‘could Alt’ condition as target response. Figure </w:t>
      </w:r>
      <w:r w:rsidR="00861B0B">
        <w:rPr>
          <w:rFonts w:ascii="Times New Roman" w:hAnsi="Times New Roman" w:cs="Times New Roman"/>
          <w:color w:val="000000" w:themeColor="text1"/>
          <w:lang w:val="en-US"/>
        </w:rPr>
        <w:t>2</w:t>
      </w:r>
      <w:r w:rsidRPr="00DD6540">
        <w:rPr>
          <w:rFonts w:ascii="Times New Roman" w:hAnsi="Times New Roman" w:cs="Times New Roman"/>
          <w:color w:val="000000" w:themeColor="text1"/>
          <w:lang w:val="en-US"/>
        </w:rPr>
        <w:t xml:space="preserve"> shows the percentages of target responses for each scale and probe type. We fitted a mixed effects logistic regression model predicting response (target or non-target) from probe type, scale, block order (‘not Alt’ first or ‘could Alt’ first), and their interactions, including random intercepts for participants</w:t>
      </w:r>
      <w:r w:rsidRPr="00DD6540">
        <w:rPr>
          <w:rStyle w:val="FootnoteReference"/>
          <w:rFonts w:ascii="Times New Roman" w:hAnsi="Times New Roman" w:cs="Times New Roman"/>
          <w:color w:val="000000" w:themeColor="text1"/>
          <w:lang w:val="en-US"/>
        </w:rPr>
        <w:footnoteReference w:id="1"/>
      </w:r>
      <w:r w:rsidRPr="00DD6540">
        <w:rPr>
          <w:rFonts w:ascii="Times New Roman" w:hAnsi="Times New Roman" w:cs="Times New Roman"/>
          <w:color w:val="000000" w:themeColor="text1"/>
          <w:lang w:val="en-US"/>
        </w:rPr>
        <w:t xml:space="preserve">. Random slopes were dropped due to non-convergence or singularity. </w:t>
      </w:r>
    </w:p>
    <w:p w14:paraId="42EF2E0C" w14:textId="77777777" w:rsidR="009B5528" w:rsidRPr="00DD6540" w:rsidRDefault="009B5528" w:rsidP="009B5528">
      <w:pPr>
        <w:spacing w:line="480" w:lineRule="auto"/>
        <w:ind w:firstLine="284"/>
        <w:rPr>
          <w:rFonts w:ascii="Times New Roman" w:hAnsi="Times New Roman" w:cs="Times New Roman"/>
          <w:color w:val="000000" w:themeColor="text1"/>
          <w:lang w:val="en-US"/>
        </w:rPr>
      </w:pPr>
    </w:p>
    <w:p w14:paraId="6CC65DFF" w14:textId="77777777" w:rsidR="009B5528" w:rsidRPr="00DD6540" w:rsidRDefault="009B5528" w:rsidP="009B5528">
      <w:pPr>
        <w:spacing w:line="480" w:lineRule="auto"/>
        <w:rPr>
          <w:rFonts w:ascii="Times New Roman" w:hAnsi="Times New Roman" w:cs="Times New Roman"/>
          <w:color w:val="000000" w:themeColor="text1"/>
          <w:lang w:val="en-US"/>
        </w:rPr>
      </w:pPr>
      <w:r w:rsidRPr="00DD6540">
        <w:rPr>
          <w:rFonts w:ascii="Times New Roman" w:hAnsi="Times New Roman" w:cs="Times New Roman"/>
          <w:noProof/>
          <w:color w:val="000000" w:themeColor="text1"/>
          <w:lang w:eastAsia="en-GB"/>
        </w:rPr>
        <w:lastRenderedPageBreak/>
        <w:drawing>
          <wp:inline distT="0" distB="0" distL="0" distR="0" wp14:anchorId="5B6E368E" wp14:editId="06A20779">
            <wp:extent cx="5731082" cy="2456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082" cy="2456178"/>
                    </a:xfrm>
                    <a:prstGeom prst="rect">
                      <a:avLst/>
                    </a:prstGeom>
                  </pic:spPr>
                </pic:pic>
              </a:graphicData>
            </a:graphic>
          </wp:inline>
        </w:drawing>
      </w:r>
    </w:p>
    <w:p w14:paraId="1110DF19" w14:textId="77777777" w:rsidR="009B5528" w:rsidRPr="00DD6540" w:rsidRDefault="009B5528" w:rsidP="009B5528">
      <w:pPr>
        <w:spacing w:line="480" w:lineRule="auto"/>
        <w:ind w:firstLine="284"/>
        <w:rPr>
          <w:rFonts w:ascii="Times New Roman" w:hAnsi="Times New Roman" w:cs="Times New Roman"/>
          <w:color w:val="000000" w:themeColor="text1"/>
          <w:lang w:val="en-US"/>
        </w:rPr>
      </w:pPr>
    </w:p>
    <w:p w14:paraId="4F4B8571" w14:textId="6CFE169A" w:rsidR="009B5528" w:rsidRPr="00DD6540" w:rsidRDefault="009B5528" w:rsidP="009B5528">
      <w:pPr>
        <w:spacing w:line="480" w:lineRule="auto"/>
        <w:ind w:firstLine="284"/>
        <w:rPr>
          <w:rFonts w:ascii="Times New Roman" w:hAnsi="Times New Roman" w:cs="Times New Roman"/>
          <w:color w:val="000000" w:themeColor="text1"/>
          <w:lang w:val="en-US"/>
        </w:rPr>
      </w:pPr>
      <w:r w:rsidRPr="00DD6540">
        <w:rPr>
          <w:rFonts w:ascii="Times New Roman" w:hAnsi="Times New Roman" w:cs="Times New Roman"/>
          <w:color w:val="000000" w:themeColor="text1"/>
          <w:lang w:val="en-US"/>
        </w:rPr>
        <w:t>There was a main effect of scale (</w:t>
      </w:r>
      <m:oMath>
        <m:r>
          <w:rPr>
            <w:rFonts w:ascii="Cambria Math" w:hAnsi="Cambria Math" w:cs="Times New Roman"/>
            <w:color w:val="000000" w:themeColor="text1"/>
            <w:lang w:val="en-US"/>
          </w:rPr>
          <m:t>χ</m:t>
        </m:r>
      </m:oMath>
      <w:r w:rsidRPr="00DD6540">
        <w:rPr>
          <w:rFonts w:ascii="Times New Roman" w:hAnsi="Times New Roman" w:cs="Times New Roman"/>
          <w:color w:val="000000" w:themeColor="text1"/>
          <w:vertAlign w:val="superscript"/>
          <w:lang w:val="en-US"/>
        </w:rPr>
        <w:t>2</w:t>
      </w:r>
      <w:r w:rsidRPr="00DD6540">
        <w:rPr>
          <w:rFonts w:ascii="Times New Roman" w:hAnsi="Times New Roman" w:cs="Times New Roman"/>
          <w:color w:val="000000" w:themeColor="text1"/>
          <w:lang w:val="en-US"/>
        </w:rPr>
        <w:t xml:space="preserve">(2) = </w:t>
      </w:r>
      <w:r w:rsidR="00795318">
        <w:rPr>
          <w:rFonts w:ascii="Times New Roman" w:hAnsi="Times New Roman" w:cs="Times New Roman"/>
          <w:color w:val="000000" w:themeColor="text1"/>
          <w:lang w:val="en-US"/>
        </w:rPr>
        <w:t>35.61</w:t>
      </w:r>
      <w:r w:rsidRPr="00DD6540">
        <w:rPr>
          <w:rFonts w:ascii="Times New Roman" w:hAnsi="Times New Roman" w:cs="Times New Roman"/>
          <w:color w:val="000000" w:themeColor="text1"/>
          <w:lang w:val="en-US"/>
        </w:rPr>
        <w:t xml:space="preserve">, </w:t>
      </w:r>
      <w:r w:rsidRPr="00DD6540">
        <w:rPr>
          <w:rFonts w:ascii="Times New Roman" w:hAnsi="Times New Roman" w:cs="Times New Roman"/>
          <w:i/>
          <w:iCs/>
          <w:color w:val="000000" w:themeColor="text1"/>
          <w:lang w:val="en-US"/>
        </w:rPr>
        <w:t>p</w:t>
      </w:r>
      <w:r w:rsidRPr="00DD6540">
        <w:rPr>
          <w:rFonts w:ascii="Times New Roman" w:hAnsi="Times New Roman" w:cs="Times New Roman"/>
          <w:color w:val="000000" w:themeColor="text1"/>
          <w:lang w:val="en-US"/>
        </w:rPr>
        <w:t xml:space="preserve"> &lt; .001) and a significant interaction between scale and probe type (</w:t>
      </w:r>
      <m:oMath>
        <m:r>
          <w:rPr>
            <w:rFonts w:ascii="Cambria Math" w:hAnsi="Cambria Math" w:cs="Times New Roman"/>
            <w:color w:val="000000" w:themeColor="text1"/>
            <w:lang w:val="en-US"/>
          </w:rPr>
          <m:t>χ</m:t>
        </m:r>
      </m:oMath>
      <w:r w:rsidRPr="00DD6540">
        <w:rPr>
          <w:rFonts w:ascii="Times New Roman" w:hAnsi="Times New Roman" w:cs="Times New Roman"/>
          <w:color w:val="000000" w:themeColor="text1"/>
          <w:vertAlign w:val="superscript"/>
          <w:lang w:val="en-US"/>
        </w:rPr>
        <w:t>2</w:t>
      </w:r>
      <w:r w:rsidRPr="00DD6540">
        <w:rPr>
          <w:rFonts w:ascii="Times New Roman" w:hAnsi="Times New Roman" w:cs="Times New Roman"/>
          <w:color w:val="000000" w:themeColor="text1"/>
          <w:lang w:val="en-US"/>
        </w:rPr>
        <w:t xml:space="preserve">(2) = </w:t>
      </w:r>
      <w:r w:rsidR="00795318">
        <w:rPr>
          <w:rFonts w:ascii="Times New Roman" w:hAnsi="Times New Roman" w:cs="Times New Roman"/>
          <w:color w:val="000000" w:themeColor="text1"/>
          <w:lang w:val="en-US"/>
        </w:rPr>
        <w:t>19</w:t>
      </w:r>
      <w:r w:rsidRPr="00DD6540">
        <w:rPr>
          <w:rFonts w:ascii="Times New Roman" w:hAnsi="Times New Roman" w:cs="Times New Roman"/>
          <w:color w:val="000000" w:themeColor="text1"/>
          <w:lang w:val="en-US"/>
        </w:rPr>
        <w:t>.</w:t>
      </w:r>
      <w:r w:rsidR="00795318">
        <w:rPr>
          <w:rFonts w:ascii="Times New Roman" w:hAnsi="Times New Roman" w:cs="Times New Roman"/>
          <w:color w:val="000000" w:themeColor="text1"/>
          <w:lang w:val="en-US"/>
        </w:rPr>
        <w:t>71</w:t>
      </w:r>
      <w:r w:rsidRPr="00DD6540">
        <w:rPr>
          <w:rFonts w:ascii="Times New Roman" w:hAnsi="Times New Roman" w:cs="Times New Roman"/>
          <w:color w:val="000000" w:themeColor="text1"/>
          <w:lang w:val="en-US"/>
        </w:rPr>
        <w:t xml:space="preserve">, </w:t>
      </w:r>
      <w:r w:rsidRPr="00DD6540">
        <w:rPr>
          <w:rFonts w:ascii="Times New Roman" w:hAnsi="Times New Roman" w:cs="Times New Roman"/>
          <w:i/>
          <w:iCs/>
          <w:color w:val="000000" w:themeColor="text1"/>
          <w:lang w:val="en-US"/>
        </w:rPr>
        <w:t>p</w:t>
      </w:r>
      <w:r w:rsidRPr="00DD6540">
        <w:rPr>
          <w:rFonts w:ascii="Times New Roman" w:hAnsi="Times New Roman" w:cs="Times New Roman"/>
          <w:color w:val="000000" w:themeColor="text1"/>
          <w:lang w:val="en-US"/>
        </w:rPr>
        <w:t xml:space="preserve"> &lt; .001). </w:t>
      </w:r>
      <w:r w:rsidRPr="00C3698A">
        <w:rPr>
          <w:rFonts w:ascii="Times New Roman" w:hAnsi="Times New Roman" w:cs="Times New Roman"/>
          <w:color w:val="000000" w:themeColor="text1"/>
          <w:highlight w:val="yellow"/>
          <w:lang w:val="en-US"/>
        </w:rPr>
        <w:t xml:space="preserve">Planned comparisons within the levels of scale revealed that the probability of target responses was higher in the ‘not Alt’ condition compared to the ‘could Alt’ condition for </w:t>
      </w:r>
      <w:r w:rsidR="00795318" w:rsidRPr="00C3698A">
        <w:rPr>
          <w:rFonts w:ascii="Times New Roman" w:hAnsi="Times New Roman" w:cs="Times New Roman"/>
          <w:color w:val="000000" w:themeColor="text1"/>
          <w:highlight w:val="yellow"/>
          <w:lang w:val="en-US"/>
        </w:rPr>
        <w:t>‘some’</w:t>
      </w:r>
      <w:r w:rsidRPr="00C3698A">
        <w:rPr>
          <w:rFonts w:ascii="Times New Roman" w:hAnsi="Times New Roman" w:cs="Times New Roman"/>
          <w:color w:val="000000" w:themeColor="text1"/>
          <w:highlight w:val="yellow"/>
          <w:lang w:val="en-US"/>
        </w:rPr>
        <w:t xml:space="preserve"> (</w:t>
      </w:r>
      <m:oMath>
        <m:r>
          <m:rPr>
            <m:nor/>
          </m:rPr>
          <w:rPr>
            <w:rFonts w:ascii="Times New Roman" w:hAnsi="Times New Roman" w:cs="Times New Roman"/>
            <w:color w:val="000000" w:themeColor="text1"/>
            <w:highlight w:val="yellow"/>
            <w:lang w:val="en-US"/>
          </w:rPr>
          <m:t>β</m:t>
        </m:r>
      </m:oMath>
      <w:r w:rsidRPr="00C3698A">
        <w:rPr>
          <w:rFonts w:ascii="Times New Roman" w:hAnsi="Times New Roman" w:cs="Times New Roman"/>
          <w:color w:val="000000" w:themeColor="text1"/>
          <w:highlight w:val="yellow"/>
          <w:lang w:val="en-US"/>
        </w:rPr>
        <w:t xml:space="preserve"> = </w:t>
      </w:r>
      <w:r w:rsidRPr="00C3698A">
        <w:rPr>
          <w:rFonts w:ascii="Times New Roman" w:hAnsi="Times New Roman" w:cs="Times New Roman"/>
          <w:color w:val="000000" w:themeColor="text1"/>
          <w:highlight w:val="yellow"/>
          <w:lang w:val="en-US"/>
        </w:rPr>
        <w:sym w:font="Symbol" w:char="F02D"/>
      </w:r>
      <w:r w:rsidR="00795318" w:rsidRPr="00C3698A">
        <w:rPr>
          <w:rFonts w:ascii="Times New Roman" w:hAnsi="Times New Roman" w:cs="Times New Roman"/>
          <w:color w:val="000000" w:themeColor="text1"/>
          <w:highlight w:val="yellow"/>
          <w:lang w:val="en-US"/>
        </w:rPr>
        <w:t>2.6</w:t>
      </w:r>
      <w:r w:rsidRPr="00C3698A">
        <w:rPr>
          <w:rFonts w:ascii="Times New Roman" w:hAnsi="Times New Roman" w:cs="Times New Roman"/>
          <w:color w:val="000000" w:themeColor="text1"/>
          <w:highlight w:val="yellow"/>
          <w:lang w:val="en-US"/>
        </w:rPr>
        <w:t xml:space="preserve">, SE = </w:t>
      </w:r>
      <w:r w:rsidR="00795318" w:rsidRPr="00C3698A">
        <w:rPr>
          <w:rFonts w:ascii="Times New Roman" w:hAnsi="Times New Roman" w:cs="Times New Roman"/>
          <w:color w:val="000000" w:themeColor="text1"/>
          <w:highlight w:val="yellow"/>
          <w:lang w:val="en-US"/>
        </w:rPr>
        <w:t>1.46</w:t>
      </w:r>
      <w:r w:rsidRPr="00C3698A">
        <w:rPr>
          <w:rFonts w:ascii="Times New Roman" w:hAnsi="Times New Roman" w:cs="Times New Roman"/>
          <w:color w:val="000000" w:themeColor="text1"/>
          <w:highlight w:val="yellow"/>
          <w:lang w:val="en-US"/>
        </w:rPr>
        <w:t xml:space="preserve">, </w:t>
      </w:r>
      <w:r w:rsidRPr="00C3698A">
        <w:rPr>
          <w:rFonts w:ascii="Times New Roman" w:hAnsi="Times New Roman" w:cs="Times New Roman"/>
          <w:i/>
          <w:iCs/>
          <w:color w:val="000000" w:themeColor="text1"/>
          <w:highlight w:val="yellow"/>
          <w:lang w:val="en-US"/>
        </w:rPr>
        <w:t>p</w:t>
      </w:r>
      <w:r w:rsidRPr="00C3698A">
        <w:rPr>
          <w:rFonts w:ascii="Times New Roman" w:hAnsi="Times New Roman" w:cs="Times New Roman"/>
          <w:color w:val="000000" w:themeColor="text1"/>
          <w:highlight w:val="yellow"/>
          <w:lang w:val="en-US"/>
        </w:rPr>
        <w:t xml:space="preserve"> = .0</w:t>
      </w:r>
      <w:r w:rsidR="00795318" w:rsidRPr="00C3698A">
        <w:rPr>
          <w:rFonts w:ascii="Times New Roman" w:hAnsi="Times New Roman" w:cs="Times New Roman"/>
          <w:color w:val="000000" w:themeColor="text1"/>
          <w:highlight w:val="yellow"/>
          <w:lang w:val="en-US"/>
        </w:rPr>
        <w:t>7)</w:t>
      </w:r>
      <w:r w:rsidRPr="00C3698A">
        <w:rPr>
          <w:rFonts w:ascii="Times New Roman" w:hAnsi="Times New Roman" w:cs="Times New Roman"/>
          <w:color w:val="000000" w:themeColor="text1"/>
          <w:highlight w:val="yellow"/>
          <w:lang w:val="en-US"/>
        </w:rPr>
        <w:t xml:space="preserve">, </w:t>
      </w:r>
      <w:r w:rsidR="00795318" w:rsidRPr="00C3698A">
        <w:rPr>
          <w:rFonts w:ascii="Times New Roman" w:hAnsi="Times New Roman" w:cs="Times New Roman"/>
          <w:color w:val="000000" w:themeColor="text1"/>
          <w:highlight w:val="yellow"/>
          <w:lang w:val="en-US"/>
        </w:rPr>
        <w:t>no difference was found for</w:t>
      </w:r>
      <w:r w:rsidRPr="00C3698A">
        <w:rPr>
          <w:rFonts w:ascii="Times New Roman" w:hAnsi="Times New Roman" w:cs="Times New Roman"/>
          <w:color w:val="000000" w:themeColor="text1"/>
          <w:highlight w:val="yellow"/>
          <w:lang w:val="en-US"/>
        </w:rPr>
        <w:t xml:space="preserve"> ‘</w:t>
      </w:r>
      <w:r w:rsidR="00795318" w:rsidRPr="00C3698A">
        <w:rPr>
          <w:rFonts w:ascii="Times New Roman" w:hAnsi="Times New Roman" w:cs="Times New Roman"/>
          <w:color w:val="000000" w:themeColor="text1"/>
          <w:highlight w:val="yellow"/>
          <w:lang w:val="en-US"/>
        </w:rPr>
        <w:t>possible</w:t>
      </w:r>
      <w:r w:rsidRPr="00C3698A">
        <w:rPr>
          <w:rFonts w:ascii="Times New Roman" w:hAnsi="Times New Roman" w:cs="Times New Roman"/>
          <w:color w:val="000000" w:themeColor="text1"/>
          <w:highlight w:val="yellow"/>
          <w:lang w:val="en-US"/>
        </w:rPr>
        <w:t>’ (</w:t>
      </w:r>
      <w:r w:rsidRPr="00C3698A">
        <w:rPr>
          <w:rFonts w:ascii="Times New Roman" w:hAnsi="Times New Roman" w:cs="Times New Roman"/>
          <w:i/>
          <w:iCs/>
          <w:color w:val="000000" w:themeColor="text1"/>
          <w:highlight w:val="yellow"/>
          <w:lang w:val="en-US"/>
        </w:rPr>
        <w:t>p</w:t>
      </w:r>
      <w:r w:rsidRPr="00C3698A">
        <w:rPr>
          <w:rFonts w:ascii="Times New Roman" w:hAnsi="Times New Roman" w:cs="Times New Roman"/>
          <w:color w:val="000000" w:themeColor="text1"/>
          <w:highlight w:val="yellow"/>
          <w:lang w:val="en-US"/>
        </w:rPr>
        <w:t xml:space="preserve"> = .</w:t>
      </w:r>
      <w:r w:rsidR="00795318" w:rsidRPr="00C3698A">
        <w:rPr>
          <w:rFonts w:ascii="Times New Roman" w:hAnsi="Times New Roman" w:cs="Times New Roman"/>
          <w:color w:val="000000" w:themeColor="text1"/>
          <w:highlight w:val="yellow"/>
          <w:lang w:val="en-US"/>
        </w:rPr>
        <w:t>44</w:t>
      </w:r>
      <w:r w:rsidRPr="00C3698A">
        <w:rPr>
          <w:rFonts w:ascii="Times New Roman" w:hAnsi="Times New Roman" w:cs="Times New Roman"/>
          <w:color w:val="000000" w:themeColor="text1"/>
          <w:highlight w:val="yellow"/>
          <w:lang w:val="en-US"/>
        </w:rPr>
        <w:t>)</w:t>
      </w:r>
      <w:r w:rsidR="00795318" w:rsidRPr="00C3698A">
        <w:rPr>
          <w:rFonts w:ascii="Times New Roman" w:hAnsi="Times New Roman" w:cs="Times New Roman"/>
          <w:color w:val="000000" w:themeColor="text1"/>
          <w:highlight w:val="yellow"/>
          <w:lang w:val="en-US"/>
        </w:rPr>
        <w:t>.</w:t>
      </w:r>
      <w:r w:rsidR="00795318">
        <w:rPr>
          <w:rFonts w:ascii="Times New Roman" w:hAnsi="Times New Roman" w:cs="Times New Roman"/>
          <w:color w:val="000000" w:themeColor="text1"/>
          <w:lang w:val="en-US"/>
        </w:rPr>
        <w:t xml:space="preserve"> This effect</w:t>
      </w:r>
      <w:r w:rsidRPr="00DD6540">
        <w:rPr>
          <w:rFonts w:ascii="Times New Roman" w:hAnsi="Times New Roman" w:cs="Times New Roman"/>
          <w:color w:val="000000" w:themeColor="text1"/>
          <w:lang w:val="en-US"/>
        </w:rPr>
        <w:t xml:space="preserve"> was reversed for </w:t>
      </w:r>
      <w:r>
        <w:rPr>
          <w:rFonts w:ascii="Times New Roman" w:hAnsi="Times New Roman" w:cs="Times New Roman"/>
          <w:color w:val="000000" w:themeColor="text1"/>
          <w:lang w:val="en-US"/>
        </w:rPr>
        <w:t>NNP</w:t>
      </w:r>
      <w:r w:rsidRPr="00DD6540">
        <w:rPr>
          <w:rFonts w:ascii="Times New Roman" w:hAnsi="Times New Roman" w:cs="Times New Roman"/>
          <w:color w:val="000000" w:themeColor="text1"/>
          <w:lang w:val="en-US"/>
        </w:rPr>
        <w:t>s</w:t>
      </w:r>
      <w:r>
        <w:rPr>
          <w:rFonts w:ascii="Times New Roman" w:hAnsi="Times New Roman" w:cs="Times New Roman"/>
          <w:color w:val="000000" w:themeColor="text1"/>
          <w:lang w:val="en-US"/>
        </w:rPr>
        <w:t>:</w:t>
      </w:r>
      <w:r w:rsidRPr="00DD6540">
        <w:rPr>
          <w:rFonts w:ascii="Times New Roman" w:hAnsi="Times New Roman" w:cs="Times New Roman"/>
          <w:color w:val="000000" w:themeColor="text1"/>
          <w:lang w:val="en-US"/>
        </w:rPr>
        <w:t xml:space="preserve"> the probability of target responses was significantly higher in the ‘could Alt’ condition compared to the ‘not Alt’ condition (</w:t>
      </w:r>
      <m:oMath>
        <m:r>
          <m:rPr>
            <m:nor/>
          </m:rPr>
          <w:rPr>
            <w:rFonts w:ascii="Times New Roman" w:hAnsi="Times New Roman" w:cs="Times New Roman"/>
            <w:color w:val="000000" w:themeColor="text1"/>
            <w:lang w:val="en-US"/>
          </w:rPr>
          <m:t>β</m:t>
        </m:r>
      </m:oMath>
      <w:r w:rsidRPr="00DD6540">
        <w:rPr>
          <w:rFonts w:ascii="Times New Roman" w:hAnsi="Times New Roman" w:cs="Times New Roman"/>
          <w:color w:val="000000" w:themeColor="text1"/>
          <w:lang w:val="en-US"/>
        </w:rPr>
        <w:t xml:space="preserve"> = 2.</w:t>
      </w:r>
      <w:r w:rsidR="00C3698A">
        <w:rPr>
          <w:rFonts w:ascii="Times New Roman" w:hAnsi="Times New Roman" w:cs="Times New Roman"/>
          <w:color w:val="000000" w:themeColor="text1"/>
          <w:lang w:val="en-US"/>
        </w:rPr>
        <w:t>84</w:t>
      </w:r>
      <w:r w:rsidRPr="00DD6540">
        <w:rPr>
          <w:rFonts w:ascii="Times New Roman" w:hAnsi="Times New Roman" w:cs="Times New Roman"/>
          <w:color w:val="000000" w:themeColor="text1"/>
          <w:lang w:val="en-US"/>
        </w:rPr>
        <w:t>, SE = 0.</w:t>
      </w:r>
      <w:r w:rsidR="00C3698A">
        <w:rPr>
          <w:rFonts w:ascii="Times New Roman" w:hAnsi="Times New Roman" w:cs="Times New Roman"/>
          <w:color w:val="000000" w:themeColor="text1"/>
          <w:lang w:val="en-US"/>
        </w:rPr>
        <w:t>70</w:t>
      </w:r>
      <w:r w:rsidRPr="00DD6540">
        <w:rPr>
          <w:rFonts w:ascii="Times New Roman" w:hAnsi="Times New Roman" w:cs="Times New Roman"/>
          <w:color w:val="000000" w:themeColor="text1"/>
          <w:lang w:val="en-US"/>
        </w:rPr>
        <w:t xml:space="preserve">, </w:t>
      </w:r>
      <w:r w:rsidRPr="00DD6540">
        <w:rPr>
          <w:rFonts w:ascii="Times New Roman" w:hAnsi="Times New Roman" w:cs="Times New Roman"/>
          <w:i/>
          <w:iCs/>
          <w:color w:val="000000" w:themeColor="text1"/>
          <w:lang w:val="en-US"/>
        </w:rPr>
        <w:t>p</w:t>
      </w:r>
      <w:r w:rsidRPr="00DD6540">
        <w:rPr>
          <w:rFonts w:ascii="Times New Roman" w:hAnsi="Times New Roman" w:cs="Times New Roman"/>
          <w:color w:val="000000" w:themeColor="text1"/>
          <w:lang w:val="en-US"/>
        </w:rPr>
        <w:t xml:space="preserve"> &lt; .001).</w:t>
      </w:r>
      <w:r>
        <w:rPr>
          <w:rFonts w:ascii="Times New Roman" w:hAnsi="Times New Roman" w:cs="Times New Roman"/>
          <w:color w:val="000000" w:themeColor="text1"/>
          <w:lang w:val="en-US"/>
        </w:rPr>
        <w:t xml:space="preserve"> Planned comparisons within the levels of probe type revealed that the probability of target responses was higher for scalars than for NNPs in the ‘not Alt’ condition (some: </w:t>
      </w:r>
      <m:oMath>
        <m:r>
          <m:rPr>
            <m:nor/>
          </m:rPr>
          <w:rPr>
            <w:rFonts w:ascii="Times New Roman" w:hAnsi="Times New Roman" w:cs="Times New Roman"/>
            <w:color w:val="000000" w:themeColor="text1"/>
            <w:lang w:val="en-US"/>
          </w:rPr>
          <m:t>β</m:t>
        </m:r>
      </m:oMath>
      <w:r w:rsidRPr="00DD6540">
        <w:rPr>
          <w:rFonts w:ascii="Times New Roman" w:hAnsi="Times New Roman" w:cs="Times New Roman"/>
          <w:color w:val="000000" w:themeColor="text1"/>
          <w:lang w:val="en-US"/>
        </w:rPr>
        <w:t xml:space="preserve"> = </w:t>
      </w:r>
      <w:r>
        <w:rPr>
          <w:rFonts w:ascii="Times New Roman" w:hAnsi="Times New Roman" w:cs="Times New Roman"/>
          <w:color w:val="000000" w:themeColor="text1"/>
          <w:lang w:val="en-US"/>
        </w:rPr>
        <w:sym w:font="Symbol" w:char="F02D"/>
      </w:r>
      <w:r w:rsidR="00C3698A">
        <w:rPr>
          <w:rFonts w:ascii="Times New Roman" w:hAnsi="Times New Roman" w:cs="Times New Roman"/>
          <w:color w:val="000000" w:themeColor="text1"/>
          <w:lang w:val="en-US"/>
        </w:rPr>
        <w:t>4.07</w:t>
      </w:r>
      <w:r w:rsidRPr="00DD6540">
        <w:rPr>
          <w:rFonts w:ascii="Times New Roman" w:hAnsi="Times New Roman" w:cs="Times New Roman"/>
          <w:color w:val="000000" w:themeColor="text1"/>
          <w:lang w:val="en-US"/>
        </w:rPr>
        <w:t xml:space="preserve">, SE = </w:t>
      </w:r>
      <w:r w:rsidR="00C3698A">
        <w:rPr>
          <w:rFonts w:ascii="Times New Roman" w:hAnsi="Times New Roman" w:cs="Times New Roman"/>
          <w:color w:val="000000" w:themeColor="text1"/>
          <w:lang w:val="en-US"/>
        </w:rPr>
        <w:t>1.07</w:t>
      </w:r>
      <w:r w:rsidRPr="00DD6540">
        <w:rPr>
          <w:rFonts w:ascii="Times New Roman" w:hAnsi="Times New Roman" w:cs="Times New Roman"/>
          <w:color w:val="000000" w:themeColor="text1"/>
          <w:lang w:val="en-US"/>
        </w:rPr>
        <w:t xml:space="preserve">, </w:t>
      </w:r>
      <w:r w:rsidRPr="00DD6540">
        <w:rPr>
          <w:rFonts w:ascii="Times New Roman" w:hAnsi="Times New Roman" w:cs="Times New Roman"/>
          <w:i/>
          <w:iCs/>
          <w:color w:val="000000" w:themeColor="text1"/>
          <w:lang w:val="en-US"/>
        </w:rPr>
        <w:t>p</w:t>
      </w:r>
      <w:r w:rsidRPr="00DD6540">
        <w:rPr>
          <w:rFonts w:ascii="Times New Roman" w:hAnsi="Times New Roman" w:cs="Times New Roman"/>
          <w:color w:val="000000" w:themeColor="text1"/>
          <w:lang w:val="en-US"/>
        </w:rPr>
        <w:t xml:space="preserve"> &lt; .001</w:t>
      </w:r>
      <w:r>
        <w:rPr>
          <w:rFonts w:ascii="Times New Roman" w:hAnsi="Times New Roman" w:cs="Times New Roman"/>
          <w:color w:val="000000" w:themeColor="text1"/>
          <w:lang w:val="en-US"/>
        </w:rPr>
        <w:t xml:space="preserve">; possible: </w:t>
      </w:r>
      <m:oMath>
        <m:r>
          <m:rPr>
            <m:nor/>
          </m:rPr>
          <w:rPr>
            <w:rFonts w:ascii="Times New Roman" w:hAnsi="Times New Roman" w:cs="Times New Roman"/>
            <w:color w:val="000000" w:themeColor="text1"/>
            <w:lang w:val="en-US"/>
          </w:rPr>
          <m:t>β</m:t>
        </m:r>
      </m:oMath>
      <w:r w:rsidRPr="00DD6540">
        <w:rPr>
          <w:rFonts w:ascii="Times New Roman" w:hAnsi="Times New Roman" w:cs="Times New Roman"/>
          <w:color w:val="000000" w:themeColor="text1"/>
          <w:lang w:val="en-US"/>
        </w:rPr>
        <w:t xml:space="preserve"> = </w:t>
      </w:r>
      <w:r>
        <w:rPr>
          <w:rFonts w:ascii="Times New Roman" w:hAnsi="Times New Roman" w:cs="Times New Roman"/>
          <w:color w:val="000000" w:themeColor="text1"/>
          <w:lang w:val="en-US"/>
        </w:rPr>
        <w:sym w:font="Symbol" w:char="F02D"/>
      </w:r>
      <w:r>
        <w:rPr>
          <w:rFonts w:ascii="Times New Roman" w:hAnsi="Times New Roman" w:cs="Times New Roman"/>
          <w:color w:val="000000" w:themeColor="text1"/>
          <w:lang w:val="en-US"/>
        </w:rPr>
        <w:t>2.</w:t>
      </w:r>
      <w:r w:rsidR="00C3698A">
        <w:rPr>
          <w:rFonts w:ascii="Times New Roman" w:hAnsi="Times New Roman" w:cs="Times New Roman"/>
          <w:color w:val="000000" w:themeColor="text1"/>
          <w:lang w:val="en-US"/>
        </w:rPr>
        <w:t>61</w:t>
      </w:r>
      <w:r w:rsidRPr="00DD6540">
        <w:rPr>
          <w:rFonts w:ascii="Times New Roman" w:hAnsi="Times New Roman" w:cs="Times New Roman"/>
          <w:color w:val="000000" w:themeColor="text1"/>
          <w:lang w:val="en-US"/>
        </w:rPr>
        <w:t xml:space="preserve">, SE = </w:t>
      </w:r>
      <w:r>
        <w:rPr>
          <w:rFonts w:ascii="Times New Roman" w:hAnsi="Times New Roman" w:cs="Times New Roman"/>
          <w:color w:val="000000" w:themeColor="text1"/>
          <w:lang w:val="en-US"/>
        </w:rPr>
        <w:t>0.</w:t>
      </w:r>
      <w:r w:rsidR="00C3698A">
        <w:rPr>
          <w:rFonts w:ascii="Times New Roman" w:hAnsi="Times New Roman" w:cs="Times New Roman"/>
          <w:color w:val="000000" w:themeColor="text1"/>
          <w:lang w:val="en-US"/>
        </w:rPr>
        <w:t>62</w:t>
      </w:r>
      <w:r w:rsidRPr="00DD6540">
        <w:rPr>
          <w:rFonts w:ascii="Times New Roman" w:hAnsi="Times New Roman" w:cs="Times New Roman"/>
          <w:color w:val="000000" w:themeColor="text1"/>
          <w:lang w:val="en-US"/>
        </w:rPr>
        <w:t xml:space="preserve">, </w:t>
      </w:r>
      <w:r w:rsidRPr="00DD6540">
        <w:rPr>
          <w:rFonts w:ascii="Times New Roman" w:hAnsi="Times New Roman" w:cs="Times New Roman"/>
          <w:i/>
          <w:iCs/>
          <w:color w:val="000000" w:themeColor="text1"/>
          <w:lang w:val="en-US"/>
        </w:rPr>
        <w:t>p</w:t>
      </w:r>
      <w:r w:rsidRPr="00DD6540">
        <w:rPr>
          <w:rFonts w:ascii="Times New Roman" w:hAnsi="Times New Roman" w:cs="Times New Roman"/>
          <w:color w:val="000000" w:themeColor="text1"/>
          <w:lang w:val="en-US"/>
        </w:rPr>
        <w:t xml:space="preserve"> &lt; .001</w:t>
      </w:r>
      <w:r>
        <w:rPr>
          <w:rFonts w:ascii="Times New Roman" w:hAnsi="Times New Roman" w:cs="Times New Roman"/>
          <w:color w:val="000000" w:themeColor="text1"/>
          <w:lang w:val="en-US"/>
        </w:rPr>
        <w:t>). In contrast, i</w:t>
      </w:r>
      <w:r w:rsidRPr="00C3698A">
        <w:rPr>
          <w:rFonts w:ascii="Times New Roman" w:hAnsi="Times New Roman" w:cs="Times New Roman"/>
          <w:color w:val="000000" w:themeColor="text1"/>
          <w:highlight w:val="yellow"/>
          <w:lang w:val="en-US"/>
        </w:rPr>
        <w:t xml:space="preserve">n the ‘could Alt’ condition, </w:t>
      </w:r>
      <w:r w:rsidR="00C3698A" w:rsidRPr="00C3698A">
        <w:rPr>
          <w:rFonts w:ascii="Times New Roman" w:hAnsi="Times New Roman" w:cs="Times New Roman"/>
          <w:color w:val="000000" w:themeColor="text1"/>
          <w:highlight w:val="yellow"/>
          <w:lang w:val="en-US"/>
        </w:rPr>
        <w:t>there was no difference between the three conditions.</w:t>
      </w:r>
      <w:r w:rsidR="00C3698A">
        <w:rPr>
          <w:rFonts w:ascii="Times New Roman" w:hAnsi="Times New Roman" w:cs="Times New Roman"/>
          <w:color w:val="000000" w:themeColor="text1"/>
          <w:lang w:val="en-US"/>
        </w:rPr>
        <w:t xml:space="preserve"> </w:t>
      </w:r>
    </w:p>
    <w:p w14:paraId="1F4B2535" w14:textId="3C392EB8" w:rsidR="009B5528" w:rsidRPr="00DD6540" w:rsidRDefault="009B5528" w:rsidP="009B5528">
      <w:pPr>
        <w:spacing w:line="480" w:lineRule="auto"/>
        <w:ind w:firstLine="284"/>
        <w:rPr>
          <w:rFonts w:ascii="Times New Roman" w:hAnsi="Times New Roman" w:cs="Times New Roman"/>
          <w:color w:val="000000" w:themeColor="text1"/>
        </w:rPr>
      </w:pPr>
      <w:r w:rsidRPr="00DD6540">
        <w:rPr>
          <w:rFonts w:ascii="Times New Roman" w:hAnsi="Times New Roman" w:cs="Times New Roman"/>
          <w:color w:val="000000" w:themeColor="text1"/>
          <w:lang w:val="en-US"/>
        </w:rPr>
        <w:t xml:space="preserve">There was </w:t>
      </w:r>
      <w:r w:rsidR="0029344A" w:rsidRPr="0029344A">
        <w:rPr>
          <w:rFonts w:ascii="Times New Roman" w:hAnsi="Times New Roman" w:cs="Times New Roman"/>
          <w:color w:val="000000" w:themeColor="text1"/>
          <w:highlight w:val="yellow"/>
          <w:lang w:val="en-US"/>
        </w:rPr>
        <w:t xml:space="preserve">no </w:t>
      </w:r>
      <w:r w:rsidRPr="0029344A">
        <w:rPr>
          <w:rFonts w:ascii="Times New Roman" w:hAnsi="Times New Roman" w:cs="Times New Roman"/>
          <w:color w:val="000000" w:themeColor="text1"/>
          <w:highlight w:val="yellow"/>
          <w:lang w:val="en-US"/>
        </w:rPr>
        <w:t>significant three-way interaction</w:t>
      </w:r>
      <w:r w:rsidRPr="00DD6540">
        <w:rPr>
          <w:rFonts w:ascii="Times New Roman" w:hAnsi="Times New Roman" w:cs="Times New Roman"/>
          <w:color w:val="000000" w:themeColor="text1"/>
          <w:lang w:val="en-US"/>
        </w:rPr>
        <w:t xml:space="preserve">. </w:t>
      </w:r>
      <w:r w:rsidR="0029344A">
        <w:rPr>
          <w:rFonts w:ascii="Times New Roman" w:hAnsi="Times New Roman" w:cs="Times New Roman"/>
          <w:color w:val="000000" w:themeColor="text1"/>
          <w:lang w:val="en-US"/>
        </w:rPr>
        <w:t>See ‘by-block’ plot in the next page.</w:t>
      </w:r>
    </w:p>
    <w:p w14:paraId="20DF1DF9" w14:textId="714ACDDF" w:rsidR="009B5528" w:rsidRPr="00DD6540" w:rsidRDefault="0029344A" w:rsidP="009B5528">
      <w:pPr>
        <w:spacing w:line="480" w:lineRule="auto"/>
        <w:ind w:firstLine="284"/>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lastRenderedPageBreak/>
        <w:drawing>
          <wp:inline distT="0" distB="0" distL="0" distR="0" wp14:anchorId="5DC8E377" wp14:editId="7EF3DA39">
            <wp:extent cx="5731510" cy="245618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28CA4780" w14:textId="77777777" w:rsidR="009732A5" w:rsidRPr="009B5528" w:rsidRDefault="009732A5">
      <w:pPr>
        <w:rPr>
          <w:lang w:val="en-US"/>
        </w:rPr>
      </w:pPr>
    </w:p>
    <w:sectPr w:rsidR="009732A5" w:rsidRPr="009B5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5272" w14:textId="77777777" w:rsidR="00DE6F11" w:rsidRDefault="00DE6F11" w:rsidP="009B5528">
      <w:r>
        <w:separator/>
      </w:r>
    </w:p>
  </w:endnote>
  <w:endnote w:type="continuationSeparator" w:id="0">
    <w:p w14:paraId="6D5C48E2" w14:textId="77777777" w:rsidR="00DE6F11" w:rsidRDefault="00DE6F11" w:rsidP="009B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6322" w14:textId="77777777" w:rsidR="00DE6F11" w:rsidRDefault="00DE6F11" w:rsidP="009B5528">
      <w:r>
        <w:separator/>
      </w:r>
    </w:p>
  </w:footnote>
  <w:footnote w:type="continuationSeparator" w:id="0">
    <w:p w14:paraId="7FD54DF4" w14:textId="77777777" w:rsidR="00DE6F11" w:rsidRDefault="00DE6F11" w:rsidP="009B5528">
      <w:r>
        <w:continuationSeparator/>
      </w:r>
    </w:p>
  </w:footnote>
  <w:footnote w:id="1">
    <w:p w14:paraId="7BE326D5" w14:textId="77777777" w:rsidR="009B5528" w:rsidRPr="004C6771" w:rsidRDefault="009B5528" w:rsidP="009B5528">
      <w:pPr>
        <w:rPr>
          <w:rFonts w:cstheme="minorHAnsi"/>
          <w:sz w:val="20"/>
          <w:szCs w:val="20"/>
          <w:lang w:val="en-US"/>
        </w:rPr>
      </w:pPr>
      <w:r w:rsidRPr="004C6771">
        <w:rPr>
          <w:rStyle w:val="FootnoteReference"/>
          <w:sz w:val="20"/>
          <w:szCs w:val="20"/>
        </w:rPr>
        <w:footnoteRef/>
      </w:r>
      <w:r w:rsidRPr="004C6771">
        <w:rPr>
          <w:sz w:val="20"/>
          <w:szCs w:val="20"/>
        </w:rPr>
        <w:t xml:space="preserve"> </w:t>
      </w:r>
      <w:r w:rsidRPr="004C6771">
        <w:rPr>
          <w:rFonts w:cstheme="minorHAnsi"/>
          <w:sz w:val="20"/>
          <w:szCs w:val="20"/>
          <w:lang w:val="en-US"/>
        </w:rPr>
        <w:t xml:space="preserve">Mixed-effect analyses were conducted in R </w:t>
      </w:r>
      <w:r w:rsidRPr="004C6771">
        <w:rPr>
          <w:rFonts w:cstheme="minorHAnsi"/>
          <w:sz w:val="20"/>
          <w:szCs w:val="20"/>
          <w:lang w:val="en-US"/>
        </w:rPr>
        <w:fldChar w:fldCharType="begin" w:fldLock="1"/>
      </w:r>
      <w:r w:rsidRPr="004C6771">
        <w:rPr>
          <w:rFonts w:cstheme="minorHAnsi"/>
          <w:sz w:val="20"/>
          <w:szCs w:val="20"/>
          <w:lang w:val="en-US"/>
        </w:rPr>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Computing","type":"article"},"uris":["http://www.mendeley.com/documents/?uuid=55ab8ceb-5871-4c3d-8ce3-1718eb37c446"]}],"mendeley":{"formattedCitation":"(R Core Team, 2020)","plainTextFormattedCitation":"(R Core Team, 2020)","previouslyFormattedCitation":"(R Core Team, 2020)"},"properties":{"noteIndex":0},"schema":"https://github.com/citation-style-language/schema/raw/master/csl-citation.json"}</w:instrText>
      </w:r>
      <w:r w:rsidRPr="004C6771">
        <w:rPr>
          <w:rFonts w:cstheme="minorHAnsi"/>
          <w:sz w:val="20"/>
          <w:szCs w:val="20"/>
          <w:lang w:val="en-US"/>
        </w:rPr>
        <w:fldChar w:fldCharType="separate"/>
      </w:r>
      <w:r w:rsidRPr="004C6771">
        <w:rPr>
          <w:rFonts w:cstheme="minorHAnsi"/>
          <w:noProof/>
          <w:sz w:val="20"/>
          <w:szCs w:val="20"/>
          <w:lang w:val="en-US"/>
        </w:rPr>
        <w:t>(R Core Team, 2020)</w:t>
      </w:r>
      <w:r w:rsidRPr="004C6771">
        <w:rPr>
          <w:rFonts w:cstheme="minorHAnsi"/>
          <w:sz w:val="20"/>
          <w:szCs w:val="20"/>
          <w:lang w:val="en-US"/>
        </w:rPr>
        <w:fldChar w:fldCharType="end"/>
      </w:r>
      <w:r w:rsidRPr="004C6771">
        <w:rPr>
          <w:rFonts w:cstheme="minorHAnsi"/>
          <w:sz w:val="20"/>
          <w:szCs w:val="20"/>
          <w:lang w:val="en-US"/>
        </w:rPr>
        <w:t xml:space="preserve"> using the ‘lme4’ package </w:t>
      </w:r>
      <w:r w:rsidRPr="004C6771">
        <w:rPr>
          <w:rFonts w:cstheme="minorHAnsi"/>
          <w:sz w:val="20"/>
          <w:szCs w:val="20"/>
          <w:lang w:val="en-US"/>
        </w:rPr>
        <w:fldChar w:fldCharType="begin" w:fldLock="1"/>
      </w:r>
      <w:r w:rsidRPr="004C6771">
        <w:rPr>
          <w:rFonts w:cstheme="minorHAnsi"/>
          <w:sz w:val="20"/>
          <w:szCs w:val="20"/>
          <w:lang w:val="en-US"/>
        </w:rPr>
        <w:instrText>ADDIN CSL_CITATION {"citationItems":[{"id":"ITEM-1","itemData":{"DOI":"10.18637/jss.v067.i01","author":[{"dropping-particle":"","family":"Bates","given":"Douglas","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lme4.","type":"article-journal","volume":"67"},"uris":["http://www.mendeley.com/documents/?uuid=e6f1f1cd-914e-4b0c-9a58-4e7970a3f602"]}],"mendeley":{"formattedCitation":"(Bates et al., 2015)","plainTextFormattedCitation":"(Bates et al., 2015)","previouslyFormattedCitation":"(Bates et al., 2015)"},"properties":{"noteIndex":0},"schema":"https://github.com/citation-style-language/schema/raw/master/csl-citation.json"}</w:instrText>
      </w:r>
      <w:r w:rsidRPr="004C6771">
        <w:rPr>
          <w:rFonts w:cstheme="minorHAnsi"/>
          <w:sz w:val="20"/>
          <w:szCs w:val="20"/>
          <w:lang w:val="en-US"/>
        </w:rPr>
        <w:fldChar w:fldCharType="separate"/>
      </w:r>
      <w:r w:rsidRPr="004C6771">
        <w:rPr>
          <w:rFonts w:cstheme="minorHAnsi"/>
          <w:noProof/>
          <w:sz w:val="20"/>
          <w:szCs w:val="20"/>
          <w:lang w:val="en-US"/>
        </w:rPr>
        <w:t>(Bates et al., 2015)</w:t>
      </w:r>
      <w:r w:rsidRPr="004C6771">
        <w:rPr>
          <w:rFonts w:cstheme="minorHAnsi"/>
          <w:sz w:val="20"/>
          <w:szCs w:val="20"/>
          <w:lang w:val="en-US"/>
        </w:rPr>
        <w:fldChar w:fldCharType="end"/>
      </w:r>
      <w:r>
        <w:rPr>
          <w:rFonts w:cstheme="minorHAnsi"/>
          <w:sz w:val="20"/>
          <w:szCs w:val="20"/>
          <w:lang w:val="en-US"/>
        </w:rPr>
        <w:t xml:space="preserve"> and </w:t>
      </w:r>
      <w:r w:rsidRPr="004C6771">
        <w:rPr>
          <w:rFonts w:cstheme="minorHAnsi"/>
          <w:sz w:val="20"/>
          <w:szCs w:val="20"/>
          <w:lang w:val="en-US"/>
        </w:rPr>
        <w:t>the ‘</w:t>
      </w:r>
      <w:proofErr w:type="spellStart"/>
      <w:r w:rsidRPr="004C6771">
        <w:rPr>
          <w:rFonts w:cstheme="minorHAnsi"/>
          <w:sz w:val="20"/>
          <w:szCs w:val="20"/>
          <w:lang w:val="en-US"/>
        </w:rPr>
        <w:t>lmerTest</w:t>
      </w:r>
      <w:proofErr w:type="spellEnd"/>
      <w:r w:rsidRPr="004C6771">
        <w:rPr>
          <w:rFonts w:cstheme="minorHAnsi"/>
          <w:sz w:val="20"/>
          <w:szCs w:val="20"/>
          <w:lang w:val="en-US"/>
        </w:rPr>
        <w:t xml:space="preserve">’ package </w:t>
      </w:r>
      <w:r w:rsidRPr="004C6771">
        <w:rPr>
          <w:rFonts w:cstheme="minorHAnsi"/>
          <w:sz w:val="20"/>
          <w:szCs w:val="20"/>
          <w:lang w:val="en-US"/>
        </w:rPr>
        <w:fldChar w:fldCharType="begin" w:fldLock="1"/>
      </w:r>
      <w:r w:rsidRPr="004C6771">
        <w:rPr>
          <w:rFonts w:cstheme="minorHAnsi"/>
          <w:sz w:val="20"/>
          <w:szCs w:val="20"/>
          <w:lang w:val="en-US"/>
        </w:rPr>
        <w:instrText>ADDIN CSL_CITATION {"citationItems":[{"id":"ITEM-1","itemData":{"DOI":"h10.18637/jss.v082.i13","abstract":"Alexandra Kuznetsova, Per Bruun Brockhoff and Rune Haubo Bojesen Christensen (2014). lmerTest: Tests for random and fixed effects for linear mixed effect models (lmer objects of lme4 package).. R package version 2.0-6. http://CRAN.R-project.org/package=lmerTest","author":[{"dropping-particle":"","family":"Kuznetsova","given":"Alexandra","non-dropping-particle":"","parse-names":false,"suffix":""},{"dropping-particle":"","family":"Brockhoff","given":"Per B.","non-dropping-particle":"","parse-names":false,"suffix":""},{"dropping-particle":"","family":"Christensen","given":"Rune H.B.","non-dropping-particle":"","parse-names":false,"suffix":""}],"container-title":"Journal of Statistical Software","id":"ITEM-1","issue":"13","issued":{"date-parts":[["2017"]]},"page":"1-26","title":"lmerTest package: tests in linear mixed effects models","type":"article-journal","volume":"82"},"uris":["http://www.mendeley.com/documents/?uuid=ea903e63-c799-36ec-ac33-f1898f5b16a8"]}],"mendeley":{"formattedCitation":"(Kuznetsova et al., 2017)","plainTextFormattedCitation":"(Kuznetsova et al., 2017)","previouslyFormattedCitation":"(Kuznetsova et al., 2017)"},"properties":{"noteIndex":0},"schema":"https://github.com/citation-style-language/schema/raw/master/csl-citation.json"}</w:instrText>
      </w:r>
      <w:r w:rsidRPr="004C6771">
        <w:rPr>
          <w:rFonts w:cstheme="minorHAnsi"/>
          <w:sz w:val="20"/>
          <w:szCs w:val="20"/>
          <w:lang w:val="en-US"/>
        </w:rPr>
        <w:fldChar w:fldCharType="separate"/>
      </w:r>
      <w:r w:rsidRPr="004C6771">
        <w:rPr>
          <w:rFonts w:cstheme="minorHAnsi"/>
          <w:noProof/>
          <w:sz w:val="20"/>
          <w:szCs w:val="20"/>
          <w:lang w:val="en-US"/>
        </w:rPr>
        <w:t>(Kuznetsova et al., 2017)</w:t>
      </w:r>
      <w:r w:rsidRPr="004C6771">
        <w:rPr>
          <w:rFonts w:cstheme="minorHAnsi"/>
          <w:sz w:val="20"/>
          <w:szCs w:val="20"/>
          <w:lang w:val="en-US"/>
        </w:rPr>
        <w:fldChar w:fldCharType="end"/>
      </w:r>
      <w:r w:rsidRPr="004C6771">
        <w:rPr>
          <w:rFonts w:cstheme="minorHAnsi"/>
          <w:sz w:val="20"/>
          <w:szCs w:val="20"/>
          <w:lang w:val="en-US"/>
        </w:rPr>
        <w:t xml:space="preserve">. Scale was dummy-coded, </w:t>
      </w:r>
      <w:r>
        <w:rPr>
          <w:rFonts w:cstheme="minorHAnsi"/>
          <w:sz w:val="20"/>
          <w:szCs w:val="20"/>
          <w:lang w:val="en-US"/>
        </w:rPr>
        <w:t>p</w:t>
      </w:r>
      <w:r w:rsidRPr="004C6771">
        <w:rPr>
          <w:rFonts w:cstheme="minorHAnsi"/>
          <w:sz w:val="20"/>
          <w:szCs w:val="20"/>
          <w:lang w:val="en-US"/>
        </w:rPr>
        <w:t>robe type and block order were deviation coded. Model comparisons were conducted to test the significance of fixed effects with more than two levels, using likelihood ratio tests. Significant interactions were followed up by conducting analyses on subsets of data defined by the levels of relevant factors.</w:t>
      </w:r>
    </w:p>
    <w:p w14:paraId="5455A87F" w14:textId="77777777" w:rsidR="009B5528" w:rsidRPr="001409C8" w:rsidRDefault="009B5528" w:rsidP="009B5528">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28"/>
    <w:rsid w:val="0029344A"/>
    <w:rsid w:val="0031308B"/>
    <w:rsid w:val="00795318"/>
    <w:rsid w:val="00861B0B"/>
    <w:rsid w:val="009732A5"/>
    <w:rsid w:val="009B5528"/>
    <w:rsid w:val="00C3698A"/>
    <w:rsid w:val="00DE6F11"/>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A03687"/>
  <w15:chartTrackingRefBased/>
  <w15:docId w15:val="{6FDFCC7A-CC66-744C-9FE8-86BFCC07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5528"/>
    <w:rPr>
      <w:sz w:val="20"/>
      <w:szCs w:val="20"/>
    </w:rPr>
  </w:style>
  <w:style w:type="character" w:customStyle="1" w:styleId="FootnoteTextChar">
    <w:name w:val="Footnote Text Char"/>
    <w:basedOn w:val="DefaultParagraphFont"/>
    <w:link w:val="FootnoteText"/>
    <w:uiPriority w:val="99"/>
    <w:semiHidden/>
    <w:rsid w:val="009B5528"/>
    <w:rPr>
      <w:sz w:val="20"/>
      <w:szCs w:val="20"/>
      <w:lang w:val="en-GB"/>
    </w:rPr>
  </w:style>
  <w:style w:type="character" w:styleId="FootnoteReference">
    <w:name w:val="footnote reference"/>
    <w:basedOn w:val="DefaultParagraphFont"/>
    <w:uiPriority w:val="99"/>
    <w:semiHidden/>
    <w:unhideWhenUsed/>
    <w:rsid w:val="009B55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Sun</dc:creator>
  <cp:keywords/>
  <dc:description/>
  <cp:lastModifiedBy>Chao Sun</cp:lastModifiedBy>
  <cp:revision>1</cp:revision>
  <dcterms:created xsi:type="dcterms:W3CDTF">2022-06-15T15:38:00Z</dcterms:created>
  <dcterms:modified xsi:type="dcterms:W3CDTF">2022-06-15T16:15:00Z</dcterms:modified>
</cp:coreProperties>
</file>