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6246" w14:textId="30BDDD62" w:rsidR="001F1602" w:rsidRPr="00E77AAA" w:rsidRDefault="00E77AAA" w:rsidP="004B08B1">
      <w:pPr>
        <w:rPr>
          <w:rFonts w:ascii="Times New Roman" w:hAnsi="Times New Roman" w:cs="Times New Roman"/>
          <w:b/>
          <w:bCs/>
          <w:sz w:val="36"/>
          <w:szCs w:val="36"/>
        </w:rPr>
      </w:pPr>
      <w:r>
        <w:t xml:space="preserve">                          </w:t>
      </w:r>
      <w:r w:rsidRPr="00E77AAA">
        <w:rPr>
          <w:rFonts w:ascii="Times New Roman" w:hAnsi="Times New Roman" w:cs="Times New Roman"/>
          <w:b/>
          <w:bCs/>
          <w:sz w:val="36"/>
          <w:szCs w:val="36"/>
        </w:rPr>
        <w:t>Bluestock Mutual Fund Analytics Capstone</w:t>
      </w:r>
    </w:p>
    <w:p w14:paraId="2949E9D3" w14:textId="7AC2BDD0" w:rsidR="001F1602" w:rsidRDefault="004B08B1" w:rsidP="004B08B1">
      <w:pPr>
        <w:rPr>
          <w:rFonts w:ascii="Times New Roman" w:hAnsi="Times New Roman" w:cs="Times New Roman"/>
          <w:b/>
          <w:bCs/>
          <w:sz w:val="32"/>
          <w:szCs w:val="32"/>
        </w:rPr>
      </w:pPr>
      <w:r>
        <w:rPr>
          <w:rFonts w:ascii="Times New Roman" w:hAnsi="Times New Roman" w:cs="Times New Roman"/>
          <w:b/>
          <w:bCs/>
          <w:sz w:val="32"/>
          <w:szCs w:val="32"/>
        </w:rPr>
        <w:t xml:space="preserve">                                   </w:t>
      </w:r>
      <w:r w:rsidR="00E77AAA" w:rsidRPr="00E77AAA">
        <w:rPr>
          <w:rFonts w:ascii="Times New Roman" w:hAnsi="Times New Roman" w:cs="Times New Roman"/>
          <w:b/>
          <w:bCs/>
          <w:sz w:val="32"/>
          <w:szCs w:val="32"/>
        </w:rPr>
        <w:t>Executive Summary</w:t>
      </w:r>
    </w:p>
    <w:p w14:paraId="6C1EF9B5" w14:textId="57256DCD" w:rsidR="001F1602" w:rsidRPr="001F1602" w:rsidRDefault="001F1602" w:rsidP="004B08B1">
      <w:pPr>
        <w:rPr>
          <w:rFonts w:ascii="Times New Roman" w:hAnsi="Times New Roman" w:cs="Times New Roman"/>
        </w:rPr>
      </w:pPr>
      <w:r w:rsidRPr="001F1602">
        <w:rPr>
          <w:rFonts w:ascii="Times New Roman" w:hAnsi="Times New Roman" w:cs="Times New Roman"/>
        </w:rPr>
        <w:t>The Bluestock Mutual Fund Analytics Capstone project was developed to analy</w:t>
      </w:r>
      <w:r w:rsidR="006A0B22">
        <w:rPr>
          <w:rFonts w:ascii="Times New Roman" w:hAnsi="Times New Roman" w:cs="Times New Roman"/>
        </w:rPr>
        <w:t>s</w:t>
      </w:r>
      <w:r w:rsidRPr="001F1602">
        <w:rPr>
          <w:rFonts w:ascii="Times New Roman" w:hAnsi="Times New Roman" w:cs="Times New Roman"/>
        </w:rPr>
        <w:t>e mutual fund industry trends, fund performance, investor behavio</w:t>
      </w:r>
      <w:r w:rsidR="006A0B22">
        <w:rPr>
          <w:rFonts w:ascii="Times New Roman" w:hAnsi="Times New Roman" w:cs="Times New Roman"/>
        </w:rPr>
        <w:t>u</w:t>
      </w:r>
      <w:r w:rsidRPr="001F1602">
        <w:rPr>
          <w:rFonts w:ascii="Times New Roman" w:hAnsi="Times New Roman" w:cs="Times New Roman"/>
        </w:rPr>
        <w:t>r, and SIP growth patterns using real-world financial datasets. The project integrates data engineering, analytics, and business intelligence techniques to create a comprehensive analytics platform for mutual fund insights.</w:t>
      </w:r>
    </w:p>
    <w:p w14:paraId="7B5E9674"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The solution follows a complete ETL pipeline that extracts raw mutual fund datasets, transforms and cleans the data using Python, and loads the processed information into a structured SQLite database. Multiple analytical workflows were implemented to evaluate industry growth, fund performance, investor participation, risk-adjusted returns, and market trends.</w:t>
      </w:r>
    </w:p>
    <w:p w14:paraId="76BECA29"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Exploratory Data Analysis (EDA) was performed to identify key patterns in Assets Under Management (AUM), investor folios, SIP inflows, category-wise fund performance, and investor demographics. Advanced analytics techniques such as Value at Risk (VaR), Conditional Value at Risk (CVaR), Rolling Sharpe Ratio, SIP continuity analysis, investor cohort analysis, and portfolio concentration analysis using the Herfindahl-Hirschman Index (HHI) were also implemented.</w:t>
      </w:r>
    </w:p>
    <w:p w14:paraId="105E8800" w14:textId="50D7E954" w:rsidR="001F1602" w:rsidRPr="001F1602" w:rsidRDefault="001F1602" w:rsidP="004B08B1">
      <w:pPr>
        <w:rPr>
          <w:rFonts w:ascii="Times New Roman" w:hAnsi="Times New Roman" w:cs="Times New Roman"/>
        </w:rPr>
      </w:pPr>
      <w:r w:rsidRPr="001F1602">
        <w:rPr>
          <w:rFonts w:ascii="Times New Roman" w:hAnsi="Times New Roman" w:cs="Times New Roman"/>
        </w:rPr>
        <w:t>Interactive dashboards were developed in Power BI to visualize industry performance, fund metrics, investor analytics, and SIP trends. The dashboards enable stakeholders to explore market behavio</w:t>
      </w:r>
      <w:r w:rsidR="00BD3E65">
        <w:rPr>
          <w:rFonts w:ascii="Times New Roman" w:hAnsi="Times New Roman" w:cs="Times New Roman"/>
        </w:rPr>
        <w:t>u</w:t>
      </w:r>
      <w:r w:rsidRPr="001F1602">
        <w:rPr>
          <w:rFonts w:ascii="Times New Roman" w:hAnsi="Times New Roman" w:cs="Times New Roman"/>
        </w:rPr>
        <w:t>r, compare fund categories, monitor risk metrics, and identify investment opportunities through intuitive visualizations.</w:t>
      </w:r>
    </w:p>
    <w:p w14:paraId="15941A48"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The project successfully demonstrates end-to-end data engineering, financial analytics, and dashboard development capabilities while providing actionable insights into the Indian mutual fund ecosystem.</w:t>
      </w:r>
    </w:p>
    <w:p w14:paraId="25302327" w14:textId="369B8AB9" w:rsidR="001F1602" w:rsidRDefault="00E77AAA" w:rsidP="004B08B1">
      <w:pPr>
        <w:rPr>
          <w:rFonts w:ascii="Times New Roman" w:hAnsi="Times New Roman" w:cs="Times New Roman"/>
          <w:b/>
          <w:bCs/>
          <w:sz w:val="32"/>
          <w:szCs w:val="32"/>
        </w:rPr>
      </w:pPr>
      <w:r w:rsidRPr="00E77AAA">
        <w:rPr>
          <w:rFonts w:ascii="Times New Roman" w:hAnsi="Times New Roman" w:cs="Times New Roman"/>
          <w:b/>
          <w:bCs/>
          <w:sz w:val="32"/>
          <w:szCs w:val="32"/>
        </w:rPr>
        <w:br/>
      </w:r>
      <w:r w:rsidRPr="00E77AAA">
        <w:rPr>
          <w:rFonts w:ascii="Times New Roman" w:hAnsi="Times New Roman" w:cs="Times New Roman"/>
          <w:b/>
          <w:bCs/>
          <w:sz w:val="32"/>
          <w:szCs w:val="32"/>
        </w:rPr>
        <w:br/>
      </w:r>
      <w:r w:rsidR="004B08B1">
        <w:rPr>
          <w:rFonts w:ascii="Times New Roman" w:hAnsi="Times New Roman" w:cs="Times New Roman"/>
          <w:b/>
          <w:bCs/>
          <w:sz w:val="32"/>
          <w:szCs w:val="32"/>
        </w:rPr>
        <w:t xml:space="preserve">                                    </w:t>
      </w:r>
      <w:r w:rsidRPr="00E77AAA">
        <w:rPr>
          <w:rFonts w:ascii="Times New Roman" w:hAnsi="Times New Roman" w:cs="Times New Roman"/>
          <w:b/>
          <w:bCs/>
          <w:sz w:val="32"/>
          <w:szCs w:val="32"/>
        </w:rPr>
        <w:t>Project Objectives</w:t>
      </w:r>
    </w:p>
    <w:p w14:paraId="50A599E7"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The primary objective of this project is to build a comprehensive Mutual Fund Analytics Platform that provides actionable insights into the Indian mutual fund industry through data engineering, analytics, and business intelligence techniques.</w:t>
      </w:r>
    </w:p>
    <w:p w14:paraId="7C0E2435"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The specific objectives of the project are:</w:t>
      </w:r>
    </w:p>
    <w:p w14:paraId="458FF7AB" w14:textId="77777777"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t>Design and implement an end-to-end ETL pipeline for mutual fund datasets.</w:t>
      </w:r>
    </w:p>
    <w:p w14:paraId="3F1D430C" w14:textId="77777777"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t>Build a structured SQLite database for storing cleaned and transformed data.</w:t>
      </w:r>
    </w:p>
    <w:p w14:paraId="60A1FAB9" w14:textId="77777777"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t>Perform Exploratory Data Analysis (EDA) to identify trends in AUM, fund performance, investor participation, and SIP growth.</w:t>
      </w:r>
    </w:p>
    <w:p w14:paraId="411C8378" w14:textId="7AF6ADCB"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lastRenderedPageBreak/>
        <w:t>Analy</w:t>
      </w:r>
      <w:r w:rsidR="006A0B22">
        <w:rPr>
          <w:rFonts w:ascii="Times New Roman" w:hAnsi="Times New Roman" w:cs="Times New Roman"/>
        </w:rPr>
        <w:t>s</w:t>
      </w:r>
      <w:r w:rsidRPr="001F1602">
        <w:rPr>
          <w:rFonts w:ascii="Times New Roman" w:hAnsi="Times New Roman" w:cs="Times New Roman"/>
        </w:rPr>
        <w:t>e mutual fund performance using return-based and risk-adjusted performance metrics.</w:t>
      </w:r>
    </w:p>
    <w:p w14:paraId="7DEC5A85" w14:textId="51F23008"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t>Study investor behavio</w:t>
      </w:r>
      <w:r w:rsidR="006A0B22">
        <w:rPr>
          <w:rFonts w:ascii="Times New Roman" w:hAnsi="Times New Roman" w:cs="Times New Roman"/>
        </w:rPr>
        <w:t>u</w:t>
      </w:r>
      <w:r w:rsidRPr="001F1602">
        <w:rPr>
          <w:rFonts w:ascii="Times New Roman" w:hAnsi="Times New Roman" w:cs="Times New Roman"/>
        </w:rPr>
        <w:t>r through demographic analysis, transaction patterns, and cohort analytics.</w:t>
      </w:r>
    </w:p>
    <w:p w14:paraId="6F59AEE7" w14:textId="77777777"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t>Evaluate market trends and SIP growth patterns across different fund categories.</w:t>
      </w:r>
    </w:p>
    <w:p w14:paraId="5E97C73B" w14:textId="77777777" w:rsidR="001F1602" w:rsidRPr="001F1602" w:rsidRDefault="001F1602" w:rsidP="004B08B1">
      <w:pPr>
        <w:numPr>
          <w:ilvl w:val="0"/>
          <w:numId w:val="1"/>
        </w:numPr>
        <w:tabs>
          <w:tab w:val="num" w:pos="720"/>
        </w:tabs>
        <w:rPr>
          <w:rFonts w:ascii="Times New Roman" w:hAnsi="Times New Roman" w:cs="Times New Roman"/>
        </w:rPr>
      </w:pPr>
      <w:r w:rsidRPr="001F1602">
        <w:rPr>
          <w:rFonts w:ascii="Times New Roman" w:hAnsi="Times New Roman" w:cs="Times New Roman"/>
        </w:rPr>
        <w:t>Implement advanced risk analytics including Value at Risk (VaR), Conditional Value at Risk (CVaR), Rolling Sharpe Ratio, and portfolio concentration measures.</w:t>
      </w:r>
    </w:p>
    <w:p w14:paraId="7FC31140" w14:textId="12D63CE0" w:rsidR="001F1602" w:rsidRPr="00730F5C" w:rsidRDefault="001F1602" w:rsidP="00730F5C">
      <w:pPr>
        <w:pStyle w:val="ListParagraph"/>
        <w:numPr>
          <w:ilvl w:val="0"/>
          <w:numId w:val="1"/>
        </w:numPr>
        <w:rPr>
          <w:rFonts w:ascii="Times New Roman" w:hAnsi="Times New Roman" w:cs="Times New Roman"/>
          <w:b/>
          <w:bCs/>
          <w:sz w:val="32"/>
          <w:szCs w:val="32"/>
        </w:rPr>
      </w:pPr>
      <w:r w:rsidRPr="00730F5C">
        <w:rPr>
          <w:rFonts w:ascii="Times New Roman" w:hAnsi="Times New Roman" w:cs="Times New Roman"/>
        </w:rPr>
        <w:t>Develop interactive Power BI dashboards to enable data-driven decision making and visualization of key insights.</w:t>
      </w:r>
    </w:p>
    <w:p w14:paraId="66BA56DF" w14:textId="72779BC0" w:rsidR="001F1602" w:rsidRDefault="00E77AAA" w:rsidP="004B08B1">
      <w:pPr>
        <w:rPr>
          <w:rFonts w:ascii="Times New Roman" w:hAnsi="Times New Roman" w:cs="Times New Roman"/>
          <w:b/>
          <w:bCs/>
          <w:sz w:val="32"/>
          <w:szCs w:val="32"/>
        </w:rPr>
      </w:pPr>
      <w:r w:rsidRPr="00E77AAA">
        <w:rPr>
          <w:rFonts w:ascii="Times New Roman" w:hAnsi="Times New Roman" w:cs="Times New Roman"/>
          <w:b/>
          <w:bCs/>
          <w:sz w:val="32"/>
          <w:szCs w:val="32"/>
        </w:rPr>
        <w:br/>
      </w:r>
      <w:r w:rsidRPr="00E77AAA">
        <w:rPr>
          <w:rFonts w:ascii="Times New Roman" w:hAnsi="Times New Roman" w:cs="Times New Roman"/>
          <w:b/>
          <w:bCs/>
          <w:sz w:val="32"/>
          <w:szCs w:val="32"/>
        </w:rPr>
        <w:br/>
      </w:r>
      <w:r w:rsidR="00730F5C">
        <w:rPr>
          <w:rFonts w:ascii="Times New Roman" w:hAnsi="Times New Roman" w:cs="Times New Roman"/>
          <w:b/>
          <w:bCs/>
          <w:sz w:val="32"/>
          <w:szCs w:val="32"/>
        </w:rPr>
        <w:t xml:space="preserve">                                         </w:t>
      </w:r>
      <w:r w:rsidRPr="00E77AAA">
        <w:rPr>
          <w:rFonts w:ascii="Times New Roman" w:hAnsi="Times New Roman" w:cs="Times New Roman"/>
          <w:b/>
          <w:bCs/>
          <w:sz w:val="32"/>
          <w:szCs w:val="32"/>
        </w:rPr>
        <w:t>Data Sources</w:t>
      </w:r>
    </w:p>
    <w:p w14:paraId="5B9F3B9D"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The project utilizes multiple datasets related to the Indian mutual fund industry. These datasets were collected, cleaned, and transformed to support analytical and visualization requirements.</w:t>
      </w:r>
    </w:p>
    <w:p w14:paraId="06BEE84E"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1. Fund Master Data</w:t>
      </w:r>
    </w:p>
    <w:p w14:paraId="64E2ABE2"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Contains information about mutual fund schemes including scheme names, fund houses, categories, benchmarks, launch dates, and expense ratios.</w:t>
      </w:r>
    </w:p>
    <w:p w14:paraId="66E8FC1A"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2. NAV History Data</w:t>
      </w:r>
    </w:p>
    <w:p w14:paraId="131C6D14"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Provides historical Net Asset Value (NAV) information for mutual fund schemes. This dataset was used to calculate daily returns, performance metrics, and risk indicators such as VaR, CVaR, and Sharpe Ratio.</w:t>
      </w:r>
    </w:p>
    <w:p w14:paraId="449166DE"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3. Investor Transactions Data</w:t>
      </w:r>
    </w:p>
    <w:p w14:paraId="19241AE2"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Contains investor transaction records including SIP investments, lump-sum investments, redemptions, transaction dates, demographic attributes, and transaction amounts.</w:t>
      </w:r>
    </w:p>
    <w:p w14:paraId="1928077A"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4. Portfolio Holdings Data</w:t>
      </w:r>
    </w:p>
    <w:p w14:paraId="2FB38FB7"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Includes fund portfolio composition, sector allocations, stock holdings, and weight percentages. This dataset was used for concentration analysis using the Herfindahl-Hirschman Index (HHI).</w:t>
      </w:r>
    </w:p>
    <w:p w14:paraId="169D2265"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5. Monthly SIP Inflows Data</w:t>
      </w:r>
    </w:p>
    <w:p w14:paraId="253D3809" w14:textId="2A0BDB55" w:rsidR="001F1602" w:rsidRPr="001F1602" w:rsidRDefault="001F1602" w:rsidP="004B08B1">
      <w:pPr>
        <w:rPr>
          <w:rFonts w:ascii="Times New Roman" w:hAnsi="Times New Roman" w:cs="Times New Roman"/>
        </w:rPr>
      </w:pPr>
      <w:r w:rsidRPr="001F1602">
        <w:rPr>
          <w:rFonts w:ascii="Times New Roman" w:hAnsi="Times New Roman" w:cs="Times New Roman"/>
        </w:rPr>
        <w:t>Provides monthly SIP account statistics, SIP inflows, assets under management, and year-over-year growth metrics. This dataset was used to analy</w:t>
      </w:r>
      <w:r w:rsidR="006A0B22">
        <w:rPr>
          <w:rFonts w:ascii="Times New Roman" w:hAnsi="Times New Roman" w:cs="Times New Roman"/>
        </w:rPr>
        <w:t>s</w:t>
      </w:r>
      <w:r w:rsidRPr="001F1602">
        <w:rPr>
          <w:rFonts w:ascii="Times New Roman" w:hAnsi="Times New Roman" w:cs="Times New Roman"/>
        </w:rPr>
        <w:t>e SIP trends and industry growth.</w:t>
      </w:r>
    </w:p>
    <w:p w14:paraId="389B85B7"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6. Industry Folio Count Data</w:t>
      </w:r>
    </w:p>
    <w:p w14:paraId="41658C28"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lastRenderedPageBreak/>
        <w:t>Contains investor folio information across mutual fund categories and fund houses. It was used to study investor participation and category-level growth.</w:t>
      </w:r>
    </w:p>
    <w:p w14:paraId="6FBEA9BA"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7. Category Inflow Data</w:t>
      </w:r>
    </w:p>
    <w:p w14:paraId="0082448D"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Includes category-wise net inflow and outflow statistics that help identify investment preferences and capital movement trends across mutual fund categories.</w:t>
      </w:r>
    </w:p>
    <w:p w14:paraId="208C91FE" w14:textId="77777777" w:rsidR="001F1602" w:rsidRPr="001F1602" w:rsidRDefault="001F1602" w:rsidP="004B08B1">
      <w:pPr>
        <w:rPr>
          <w:rFonts w:ascii="Times New Roman" w:hAnsi="Times New Roman" w:cs="Times New Roman"/>
          <w:b/>
          <w:bCs/>
          <w:sz w:val="28"/>
          <w:szCs w:val="28"/>
        </w:rPr>
      </w:pPr>
      <w:r w:rsidRPr="001F1602">
        <w:rPr>
          <w:rFonts w:ascii="Times New Roman" w:hAnsi="Times New Roman" w:cs="Times New Roman"/>
          <w:b/>
          <w:bCs/>
          <w:sz w:val="28"/>
          <w:szCs w:val="28"/>
        </w:rPr>
        <w:t>8. Benchmark Indices Data</w:t>
      </w:r>
    </w:p>
    <w:p w14:paraId="4BC97CAA"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Contains benchmark index performance information used for performance comparison and evaluation of mutual fund schemes against market benchmarks.</w:t>
      </w:r>
    </w:p>
    <w:p w14:paraId="0BC05E5D" w14:textId="77777777" w:rsidR="001F1602" w:rsidRPr="001F1602" w:rsidRDefault="001F1602" w:rsidP="004B08B1">
      <w:pPr>
        <w:rPr>
          <w:rFonts w:ascii="Times New Roman" w:hAnsi="Times New Roman" w:cs="Times New Roman"/>
        </w:rPr>
      </w:pPr>
      <w:r w:rsidRPr="001F1602">
        <w:rPr>
          <w:rFonts w:ascii="Times New Roman" w:hAnsi="Times New Roman" w:cs="Times New Roman"/>
        </w:rPr>
        <w:t>All datasets were processed through a standardized ETL pipeline to ensure consistency, data quality, and analytical readiness.</w:t>
      </w:r>
    </w:p>
    <w:p w14:paraId="27238D4E" w14:textId="246DB751" w:rsidR="006A0B22" w:rsidRDefault="00E77AAA" w:rsidP="004B08B1">
      <w:pPr>
        <w:rPr>
          <w:rFonts w:ascii="Times New Roman" w:hAnsi="Times New Roman" w:cs="Times New Roman"/>
          <w:b/>
          <w:bCs/>
          <w:sz w:val="32"/>
          <w:szCs w:val="32"/>
        </w:rPr>
      </w:pPr>
      <w:r w:rsidRPr="00E77AAA">
        <w:rPr>
          <w:rFonts w:ascii="Times New Roman" w:hAnsi="Times New Roman" w:cs="Times New Roman"/>
          <w:b/>
          <w:bCs/>
          <w:sz w:val="32"/>
          <w:szCs w:val="32"/>
        </w:rPr>
        <w:br/>
      </w:r>
      <w:r w:rsidRPr="00E77AAA">
        <w:rPr>
          <w:rFonts w:ascii="Times New Roman" w:hAnsi="Times New Roman" w:cs="Times New Roman"/>
          <w:b/>
          <w:bCs/>
          <w:sz w:val="32"/>
          <w:szCs w:val="32"/>
        </w:rPr>
        <w:br/>
      </w:r>
      <w:r w:rsidR="004B08B1">
        <w:rPr>
          <w:rFonts w:ascii="Times New Roman" w:hAnsi="Times New Roman" w:cs="Times New Roman"/>
          <w:b/>
          <w:bCs/>
          <w:sz w:val="32"/>
          <w:szCs w:val="32"/>
        </w:rPr>
        <w:t xml:space="preserve">                                 </w:t>
      </w:r>
      <w:r w:rsidRPr="00E77AAA">
        <w:rPr>
          <w:rFonts w:ascii="Times New Roman" w:hAnsi="Times New Roman" w:cs="Times New Roman"/>
          <w:b/>
          <w:bCs/>
          <w:sz w:val="32"/>
          <w:szCs w:val="32"/>
        </w:rPr>
        <w:t>ETL Pipeline Design</w:t>
      </w:r>
    </w:p>
    <w:p w14:paraId="6A3B3130" w14:textId="77777777" w:rsidR="006A0B22" w:rsidRPr="006A0B22" w:rsidRDefault="006A0B22" w:rsidP="004B08B1">
      <w:pPr>
        <w:rPr>
          <w:rFonts w:ascii="Times New Roman" w:hAnsi="Times New Roman" w:cs="Times New Roman"/>
        </w:rPr>
      </w:pPr>
      <w:r w:rsidRPr="006A0B22">
        <w:rPr>
          <w:rFonts w:ascii="Times New Roman" w:hAnsi="Times New Roman" w:cs="Times New Roman"/>
        </w:rPr>
        <w:t>The project follows a structured Extract, Transform, and Load (ETL) architecture to convert raw mutual fund datasets into analysis-ready information for reporting and visualization.</w:t>
      </w:r>
    </w:p>
    <w:p w14:paraId="7BDAE89C" w14:textId="77777777" w:rsidR="006A0B22" w:rsidRPr="006A0B22" w:rsidRDefault="006A0B22" w:rsidP="004B08B1">
      <w:pPr>
        <w:rPr>
          <w:rFonts w:ascii="Times New Roman" w:hAnsi="Times New Roman" w:cs="Times New Roman"/>
          <w:b/>
          <w:bCs/>
          <w:sz w:val="28"/>
          <w:szCs w:val="28"/>
        </w:rPr>
      </w:pPr>
      <w:r w:rsidRPr="006A0B22">
        <w:rPr>
          <w:rFonts w:ascii="Times New Roman" w:hAnsi="Times New Roman" w:cs="Times New Roman"/>
          <w:b/>
          <w:bCs/>
          <w:sz w:val="28"/>
          <w:szCs w:val="28"/>
        </w:rPr>
        <w:t>Extract Phase</w:t>
      </w:r>
    </w:p>
    <w:p w14:paraId="181A9146" w14:textId="77777777" w:rsidR="006A0B22" w:rsidRPr="006A0B22" w:rsidRDefault="006A0B22" w:rsidP="004B08B1">
      <w:pPr>
        <w:rPr>
          <w:rFonts w:ascii="Times New Roman" w:hAnsi="Times New Roman" w:cs="Times New Roman"/>
        </w:rPr>
      </w:pPr>
      <w:r w:rsidRPr="006A0B22">
        <w:rPr>
          <w:rFonts w:ascii="Times New Roman" w:hAnsi="Times New Roman" w:cs="Times New Roman"/>
        </w:rPr>
        <w:t>Data was collected from multiple mutual fund datasets including scheme master data, NAV history, investor transactions, SIP inflows, portfolio holdings, benchmark indices, and industry statistics. Raw files were stored in the project's data/raw directory.</w:t>
      </w:r>
    </w:p>
    <w:p w14:paraId="4E43F3C9" w14:textId="77777777" w:rsidR="006A0B22" w:rsidRPr="006A0B22" w:rsidRDefault="006A0B22" w:rsidP="004B08B1">
      <w:pPr>
        <w:rPr>
          <w:rFonts w:ascii="Times New Roman" w:hAnsi="Times New Roman" w:cs="Times New Roman"/>
          <w:b/>
          <w:bCs/>
          <w:sz w:val="28"/>
          <w:szCs w:val="28"/>
        </w:rPr>
      </w:pPr>
      <w:r w:rsidRPr="006A0B22">
        <w:rPr>
          <w:rFonts w:ascii="Times New Roman" w:hAnsi="Times New Roman" w:cs="Times New Roman"/>
          <w:b/>
          <w:bCs/>
          <w:sz w:val="28"/>
          <w:szCs w:val="28"/>
        </w:rPr>
        <w:t>Transform Phase</w:t>
      </w:r>
    </w:p>
    <w:p w14:paraId="1FEC3931" w14:textId="77777777" w:rsidR="006A0B22" w:rsidRPr="006A0B22" w:rsidRDefault="006A0B22" w:rsidP="004B08B1">
      <w:pPr>
        <w:rPr>
          <w:rFonts w:ascii="Times New Roman" w:hAnsi="Times New Roman" w:cs="Times New Roman"/>
        </w:rPr>
      </w:pPr>
      <w:r w:rsidRPr="006A0B22">
        <w:rPr>
          <w:rFonts w:ascii="Times New Roman" w:hAnsi="Times New Roman" w:cs="Times New Roman"/>
        </w:rPr>
        <w:t>Data preprocessing and cleaning were performed using Python and Pandas. The transformation process included:</w:t>
      </w:r>
    </w:p>
    <w:p w14:paraId="445AD81B" w14:textId="77777777" w:rsidR="006A0B22" w:rsidRPr="006A0B22" w:rsidRDefault="006A0B22" w:rsidP="004B08B1">
      <w:pPr>
        <w:numPr>
          <w:ilvl w:val="0"/>
          <w:numId w:val="2"/>
        </w:numPr>
        <w:rPr>
          <w:rFonts w:ascii="Times New Roman" w:hAnsi="Times New Roman" w:cs="Times New Roman"/>
        </w:rPr>
      </w:pPr>
      <w:r w:rsidRPr="006A0B22">
        <w:rPr>
          <w:rFonts w:ascii="Times New Roman" w:hAnsi="Times New Roman" w:cs="Times New Roman"/>
        </w:rPr>
        <w:t xml:space="preserve">Handling missing and duplicate values. </w:t>
      </w:r>
    </w:p>
    <w:p w14:paraId="6C214C56" w14:textId="77777777" w:rsidR="006A0B22" w:rsidRPr="006A0B22" w:rsidRDefault="006A0B22" w:rsidP="004B08B1">
      <w:pPr>
        <w:numPr>
          <w:ilvl w:val="0"/>
          <w:numId w:val="2"/>
        </w:numPr>
        <w:rPr>
          <w:rFonts w:ascii="Times New Roman" w:hAnsi="Times New Roman" w:cs="Times New Roman"/>
        </w:rPr>
      </w:pPr>
      <w:r w:rsidRPr="006A0B22">
        <w:rPr>
          <w:rFonts w:ascii="Times New Roman" w:hAnsi="Times New Roman" w:cs="Times New Roman"/>
        </w:rPr>
        <w:t xml:space="preserve">Standardizing column names and data types. </w:t>
      </w:r>
    </w:p>
    <w:p w14:paraId="547A78DA" w14:textId="77777777" w:rsidR="006A0B22" w:rsidRPr="006A0B22" w:rsidRDefault="006A0B22" w:rsidP="004B08B1">
      <w:pPr>
        <w:numPr>
          <w:ilvl w:val="0"/>
          <w:numId w:val="2"/>
        </w:numPr>
        <w:rPr>
          <w:rFonts w:ascii="Times New Roman" w:hAnsi="Times New Roman" w:cs="Times New Roman"/>
        </w:rPr>
      </w:pPr>
      <w:r w:rsidRPr="006A0B22">
        <w:rPr>
          <w:rFonts w:ascii="Times New Roman" w:hAnsi="Times New Roman" w:cs="Times New Roman"/>
        </w:rPr>
        <w:t xml:space="preserve">Converting date fields into datetime format. </w:t>
      </w:r>
    </w:p>
    <w:p w14:paraId="797B158A" w14:textId="77777777" w:rsidR="006A0B22" w:rsidRPr="006A0B22" w:rsidRDefault="006A0B22" w:rsidP="004B08B1">
      <w:pPr>
        <w:numPr>
          <w:ilvl w:val="0"/>
          <w:numId w:val="2"/>
        </w:numPr>
        <w:rPr>
          <w:rFonts w:ascii="Times New Roman" w:hAnsi="Times New Roman" w:cs="Times New Roman"/>
        </w:rPr>
      </w:pPr>
      <w:r w:rsidRPr="006A0B22">
        <w:rPr>
          <w:rFonts w:ascii="Times New Roman" w:hAnsi="Times New Roman" w:cs="Times New Roman"/>
        </w:rPr>
        <w:t xml:space="preserve">Creating calculated metrics and derived features. </w:t>
      </w:r>
    </w:p>
    <w:p w14:paraId="01F640E1" w14:textId="77777777" w:rsidR="006A0B22" w:rsidRPr="006A0B22" w:rsidRDefault="006A0B22" w:rsidP="004B08B1">
      <w:pPr>
        <w:numPr>
          <w:ilvl w:val="0"/>
          <w:numId w:val="2"/>
        </w:numPr>
        <w:rPr>
          <w:rFonts w:ascii="Times New Roman" w:hAnsi="Times New Roman" w:cs="Times New Roman"/>
        </w:rPr>
      </w:pPr>
      <w:r w:rsidRPr="006A0B22">
        <w:rPr>
          <w:rFonts w:ascii="Times New Roman" w:hAnsi="Times New Roman" w:cs="Times New Roman"/>
        </w:rPr>
        <w:t xml:space="preserve">Validating data quality and consistency. </w:t>
      </w:r>
    </w:p>
    <w:p w14:paraId="5F23A106" w14:textId="77777777" w:rsidR="006A0B22" w:rsidRPr="006A0B22" w:rsidRDefault="006A0B22" w:rsidP="004B08B1">
      <w:pPr>
        <w:numPr>
          <w:ilvl w:val="0"/>
          <w:numId w:val="2"/>
        </w:numPr>
        <w:rPr>
          <w:rFonts w:ascii="Times New Roman" w:hAnsi="Times New Roman" w:cs="Times New Roman"/>
        </w:rPr>
      </w:pPr>
      <w:r w:rsidRPr="006A0B22">
        <w:rPr>
          <w:rFonts w:ascii="Times New Roman" w:hAnsi="Times New Roman" w:cs="Times New Roman"/>
        </w:rPr>
        <w:t xml:space="preserve">Preparing analytics-ready datasets for reporting. </w:t>
      </w:r>
    </w:p>
    <w:p w14:paraId="74E5403D" w14:textId="77777777" w:rsidR="006A0B22" w:rsidRPr="006A0B22" w:rsidRDefault="006A0B22" w:rsidP="004B08B1">
      <w:pPr>
        <w:rPr>
          <w:rFonts w:ascii="Times New Roman" w:hAnsi="Times New Roman" w:cs="Times New Roman"/>
        </w:rPr>
      </w:pPr>
      <w:r w:rsidRPr="006A0B22">
        <w:rPr>
          <w:rFonts w:ascii="Times New Roman" w:hAnsi="Times New Roman" w:cs="Times New Roman"/>
        </w:rPr>
        <w:t>The transformation scripts generated cleaned datasets stored in the data/processed directory.</w:t>
      </w:r>
    </w:p>
    <w:p w14:paraId="19DE6BEF" w14:textId="77777777" w:rsidR="006A0B22" w:rsidRPr="006A0B22" w:rsidRDefault="006A0B22" w:rsidP="004B08B1">
      <w:pPr>
        <w:rPr>
          <w:rFonts w:ascii="Times New Roman" w:hAnsi="Times New Roman" w:cs="Times New Roman"/>
        </w:rPr>
      </w:pPr>
      <w:r w:rsidRPr="006A0B22">
        <w:rPr>
          <w:rFonts w:ascii="Times New Roman" w:hAnsi="Times New Roman" w:cs="Times New Roman"/>
        </w:rPr>
        <w:t>Load Phase</w:t>
      </w:r>
    </w:p>
    <w:p w14:paraId="04DF6866" w14:textId="77777777" w:rsidR="006A0B22" w:rsidRPr="006A0B22" w:rsidRDefault="006A0B22" w:rsidP="004B08B1">
      <w:pPr>
        <w:rPr>
          <w:rFonts w:ascii="Times New Roman" w:hAnsi="Times New Roman" w:cs="Times New Roman"/>
        </w:rPr>
      </w:pPr>
      <w:r w:rsidRPr="006A0B22">
        <w:rPr>
          <w:rFonts w:ascii="Times New Roman" w:hAnsi="Times New Roman" w:cs="Times New Roman"/>
        </w:rPr>
        <w:lastRenderedPageBreak/>
        <w:t>The cleaned datasets were loaded into an SQLite database using automated Python scripts. The database acts as a centralized storage layer that supports querying, reporting, and dashboard development.</w:t>
      </w:r>
    </w:p>
    <w:p w14:paraId="47ED2BEF" w14:textId="0CE19D69" w:rsidR="006A0B22" w:rsidRPr="006A0B22" w:rsidRDefault="006A0B22" w:rsidP="004B08B1">
      <w:pPr>
        <w:rPr>
          <w:rFonts w:ascii="Times New Roman" w:hAnsi="Times New Roman" w:cs="Times New Roman"/>
          <w:b/>
          <w:bCs/>
          <w:sz w:val="28"/>
          <w:szCs w:val="28"/>
        </w:rPr>
      </w:pPr>
      <w:r w:rsidRPr="006A0B22">
        <w:rPr>
          <w:rFonts w:ascii="Times New Roman" w:hAnsi="Times New Roman" w:cs="Times New Roman"/>
          <w:b/>
          <w:bCs/>
          <w:sz w:val="28"/>
          <w:szCs w:val="28"/>
        </w:rPr>
        <w:t>ETL Workflow</w:t>
      </w:r>
      <w:r w:rsidR="004B08B1">
        <w:rPr>
          <w:rFonts w:ascii="Times New Roman" w:hAnsi="Times New Roman" w:cs="Times New Roman"/>
          <w:b/>
          <w:bCs/>
          <w:sz w:val="28"/>
          <w:szCs w:val="28"/>
        </w:rPr>
        <w:t>:</w:t>
      </w:r>
    </w:p>
    <w:p w14:paraId="60007DE8" w14:textId="0DEB09BF" w:rsidR="00730F5C" w:rsidRDefault="006A0B22" w:rsidP="004B08B1">
      <w:pPr>
        <w:rPr>
          <w:rFonts w:ascii="Times New Roman" w:hAnsi="Times New Roman" w:cs="Times New Roman"/>
          <w:sz w:val="28"/>
          <w:szCs w:val="28"/>
        </w:rPr>
      </w:pPr>
      <w:r>
        <w:rPr>
          <w:rFonts w:ascii="Times New Roman" w:hAnsi="Times New Roman" w:cs="Times New Roman"/>
          <w:sz w:val="28"/>
          <w:szCs w:val="28"/>
        </w:rPr>
        <w:t xml:space="preserve">                                        </w:t>
      </w:r>
      <w:r w:rsidRPr="006A0B22">
        <w:rPr>
          <w:rFonts w:ascii="Times New Roman" w:hAnsi="Times New Roman" w:cs="Times New Roman"/>
          <w:sz w:val="28"/>
          <w:szCs w:val="28"/>
        </w:rPr>
        <w:t>Raw Data Files</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Data Cleaning &amp; Validation (Python)</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Feature Engineering &amp; Transformations</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Processed CSV Files</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SQLite Database</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Analytics &amp; Reporting</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w:t>
      </w:r>
      <w:r w:rsidRPr="006A0B22">
        <w:rPr>
          <w:rFonts w:ascii="Times New Roman" w:hAnsi="Times New Roman" w:cs="Times New Roman"/>
          <w:sz w:val="28"/>
          <w:szCs w:val="28"/>
        </w:rPr>
        <w:br/>
      </w:r>
      <w:r>
        <w:rPr>
          <w:rFonts w:ascii="Times New Roman" w:hAnsi="Times New Roman" w:cs="Times New Roman"/>
          <w:sz w:val="28"/>
          <w:szCs w:val="28"/>
        </w:rPr>
        <w:t xml:space="preserve">                                  </w:t>
      </w:r>
      <w:r w:rsidRPr="006A0B22">
        <w:rPr>
          <w:rFonts w:ascii="Times New Roman" w:hAnsi="Times New Roman" w:cs="Times New Roman"/>
          <w:sz w:val="28"/>
          <w:szCs w:val="28"/>
        </w:rPr>
        <w:t>Power BI Dashboard</w:t>
      </w:r>
    </w:p>
    <w:p w14:paraId="7F508E4D" w14:textId="77777777" w:rsidR="00730F5C" w:rsidRPr="006A0B22" w:rsidRDefault="00730F5C" w:rsidP="004B08B1">
      <w:pPr>
        <w:rPr>
          <w:rFonts w:ascii="Times New Roman" w:hAnsi="Times New Roman" w:cs="Times New Roman"/>
          <w:sz w:val="28"/>
          <w:szCs w:val="28"/>
        </w:rPr>
      </w:pPr>
    </w:p>
    <w:p w14:paraId="48DAA1E4" w14:textId="78DCC645" w:rsidR="006A0B22" w:rsidRPr="006A0B22" w:rsidRDefault="006A0B22" w:rsidP="004B08B1">
      <w:pPr>
        <w:rPr>
          <w:rFonts w:ascii="Times New Roman" w:hAnsi="Times New Roman" w:cs="Times New Roman"/>
          <w:b/>
          <w:bCs/>
          <w:sz w:val="28"/>
          <w:szCs w:val="28"/>
        </w:rPr>
      </w:pPr>
      <w:r w:rsidRPr="006A0B22">
        <w:rPr>
          <w:rFonts w:ascii="Times New Roman" w:hAnsi="Times New Roman" w:cs="Times New Roman"/>
          <w:b/>
          <w:bCs/>
          <w:sz w:val="28"/>
          <w:szCs w:val="28"/>
        </w:rPr>
        <w:t>Technologies Used</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4174"/>
      </w:tblGrid>
      <w:tr w:rsidR="006A0B22" w:rsidRPr="006A0B22" w14:paraId="4AD65545" w14:textId="77777777" w:rsidTr="004B08B1">
        <w:trPr>
          <w:tblHeader/>
          <w:tblCellSpacing w:w="15" w:type="dxa"/>
        </w:trPr>
        <w:tc>
          <w:tcPr>
            <w:tcW w:w="0" w:type="auto"/>
            <w:vAlign w:val="center"/>
            <w:hideMark/>
          </w:tcPr>
          <w:p w14:paraId="068190A8" w14:textId="0876F557" w:rsidR="006A0B22" w:rsidRPr="006A0B22" w:rsidRDefault="006A0B22" w:rsidP="006A0B22">
            <w:pPr>
              <w:rPr>
                <w:rFonts w:ascii="Times New Roman" w:hAnsi="Times New Roman" w:cs="Times New Roman"/>
                <w:b/>
                <w:bCs/>
                <w:sz w:val="28"/>
                <w:szCs w:val="28"/>
              </w:rPr>
            </w:pPr>
            <w:r w:rsidRPr="006A0B22">
              <w:rPr>
                <w:rFonts w:ascii="Times New Roman" w:hAnsi="Times New Roman" w:cs="Times New Roman"/>
                <w:b/>
                <w:bCs/>
                <w:sz w:val="28"/>
                <w:szCs w:val="28"/>
              </w:rPr>
              <w:t>Component</w:t>
            </w:r>
            <w:r w:rsidRPr="006A0B22">
              <w:rPr>
                <w:rFonts w:ascii="Times New Roman" w:hAnsi="Times New Roman" w:cs="Times New Roman"/>
                <w:b/>
                <w:bCs/>
                <w:sz w:val="28"/>
                <w:szCs w:val="28"/>
              </w:rPr>
              <w:t xml:space="preserve">                             </w:t>
            </w:r>
          </w:p>
        </w:tc>
        <w:tc>
          <w:tcPr>
            <w:tcW w:w="0" w:type="auto"/>
            <w:vAlign w:val="center"/>
            <w:hideMark/>
          </w:tcPr>
          <w:p w14:paraId="339734EE" w14:textId="3103A0A6" w:rsidR="006A0B22" w:rsidRPr="006A0B22" w:rsidRDefault="006A0B22" w:rsidP="006A0B22">
            <w:pPr>
              <w:rPr>
                <w:rFonts w:ascii="Times New Roman" w:hAnsi="Times New Roman" w:cs="Times New Roman"/>
                <w:b/>
                <w:bCs/>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b/>
                <w:bCs/>
                <w:sz w:val="28"/>
                <w:szCs w:val="28"/>
              </w:rPr>
              <w:t>Technology</w:t>
            </w:r>
          </w:p>
        </w:tc>
      </w:tr>
      <w:tr w:rsidR="006A0B22" w:rsidRPr="006A0B22" w14:paraId="1B98D99B" w14:textId="77777777" w:rsidTr="004B08B1">
        <w:trPr>
          <w:tblCellSpacing w:w="15" w:type="dxa"/>
        </w:trPr>
        <w:tc>
          <w:tcPr>
            <w:tcW w:w="0" w:type="auto"/>
            <w:vAlign w:val="center"/>
            <w:hideMark/>
          </w:tcPr>
          <w:p w14:paraId="1B92047F" w14:textId="7777777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Programming Language</w:t>
            </w:r>
          </w:p>
        </w:tc>
        <w:tc>
          <w:tcPr>
            <w:tcW w:w="0" w:type="auto"/>
            <w:vAlign w:val="center"/>
            <w:hideMark/>
          </w:tcPr>
          <w:p w14:paraId="4BC33A1A" w14:textId="1F6AA67A"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sz w:val="28"/>
                <w:szCs w:val="28"/>
              </w:rPr>
              <w:t>Python</w:t>
            </w:r>
          </w:p>
        </w:tc>
      </w:tr>
      <w:tr w:rsidR="006A0B22" w:rsidRPr="006A0B22" w14:paraId="1CEC2089" w14:textId="77777777" w:rsidTr="004B08B1">
        <w:trPr>
          <w:tblCellSpacing w:w="15" w:type="dxa"/>
        </w:trPr>
        <w:tc>
          <w:tcPr>
            <w:tcW w:w="0" w:type="auto"/>
            <w:vAlign w:val="center"/>
            <w:hideMark/>
          </w:tcPr>
          <w:p w14:paraId="51E0C0D6" w14:textId="7777777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Data Processing</w:t>
            </w:r>
          </w:p>
        </w:tc>
        <w:tc>
          <w:tcPr>
            <w:tcW w:w="0" w:type="auto"/>
            <w:vAlign w:val="center"/>
            <w:hideMark/>
          </w:tcPr>
          <w:p w14:paraId="3652AE0E" w14:textId="644559B1"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sz w:val="28"/>
                <w:szCs w:val="28"/>
              </w:rPr>
              <w:t>Pandas, NumPy</w:t>
            </w:r>
          </w:p>
        </w:tc>
      </w:tr>
      <w:tr w:rsidR="006A0B22" w:rsidRPr="006A0B22" w14:paraId="4CB71985" w14:textId="77777777" w:rsidTr="004B08B1">
        <w:trPr>
          <w:tblCellSpacing w:w="15" w:type="dxa"/>
        </w:trPr>
        <w:tc>
          <w:tcPr>
            <w:tcW w:w="0" w:type="auto"/>
            <w:vAlign w:val="center"/>
            <w:hideMark/>
          </w:tcPr>
          <w:p w14:paraId="29A8EC41" w14:textId="7777777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Database</w:t>
            </w:r>
          </w:p>
        </w:tc>
        <w:tc>
          <w:tcPr>
            <w:tcW w:w="0" w:type="auto"/>
            <w:vAlign w:val="center"/>
            <w:hideMark/>
          </w:tcPr>
          <w:p w14:paraId="507C5433" w14:textId="1D6D3CB2"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sz w:val="28"/>
                <w:szCs w:val="28"/>
              </w:rPr>
              <w:t>SQLite</w:t>
            </w:r>
          </w:p>
        </w:tc>
      </w:tr>
      <w:tr w:rsidR="006A0B22" w:rsidRPr="006A0B22" w14:paraId="26308618" w14:textId="77777777" w:rsidTr="004B08B1">
        <w:trPr>
          <w:tblCellSpacing w:w="15" w:type="dxa"/>
        </w:trPr>
        <w:tc>
          <w:tcPr>
            <w:tcW w:w="0" w:type="auto"/>
            <w:vAlign w:val="center"/>
            <w:hideMark/>
          </w:tcPr>
          <w:p w14:paraId="275AD9DC" w14:textId="7777777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Visualization</w:t>
            </w:r>
          </w:p>
        </w:tc>
        <w:tc>
          <w:tcPr>
            <w:tcW w:w="0" w:type="auto"/>
            <w:vAlign w:val="center"/>
            <w:hideMark/>
          </w:tcPr>
          <w:p w14:paraId="63649EE4" w14:textId="65FAC05C"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sz w:val="28"/>
                <w:szCs w:val="28"/>
              </w:rPr>
              <w:t>Power BI</w:t>
            </w:r>
          </w:p>
        </w:tc>
      </w:tr>
      <w:tr w:rsidR="006A0B22" w:rsidRPr="006A0B22" w14:paraId="0E809328" w14:textId="77777777" w:rsidTr="004B08B1">
        <w:trPr>
          <w:tblCellSpacing w:w="15" w:type="dxa"/>
        </w:trPr>
        <w:tc>
          <w:tcPr>
            <w:tcW w:w="0" w:type="auto"/>
            <w:vAlign w:val="center"/>
            <w:hideMark/>
          </w:tcPr>
          <w:p w14:paraId="2E950476" w14:textId="7777777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Development Environment</w:t>
            </w:r>
          </w:p>
        </w:tc>
        <w:tc>
          <w:tcPr>
            <w:tcW w:w="0" w:type="auto"/>
            <w:vAlign w:val="center"/>
            <w:hideMark/>
          </w:tcPr>
          <w:p w14:paraId="25D8F01F" w14:textId="6145815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sz w:val="28"/>
                <w:szCs w:val="28"/>
              </w:rPr>
              <w:t>VS Code</w:t>
            </w:r>
          </w:p>
        </w:tc>
      </w:tr>
      <w:tr w:rsidR="006A0B22" w:rsidRPr="006A0B22" w14:paraId="63BA1B79" w14:textId="77777777" w:rsidTr="004B08B1">
        <w:trPr>
          <w:tblCellSpacing w:w="15" w:type="dxa"/>
        </w:trPr>
        <w:tc>
          <w:tcPr>
            <w:tcW w:w="0" w:type="auto"/>
            <w:vAlign w:val="center"/>
            <w:hideMark/>
          </w:tcPr>
          <w:p w14:paraId="759A1A5A" w14:textId="77777777"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Version Control</w:t>
            </w:r>
          </w:p>
        </w:tc>
        <w:tc>
          <w:tcPr>
            <w:tcW w:w="0" w:type="auto"/>
            <w:vAlign w:val="center"/>
            <w:hideMark/>
          </w:tcPr>
          <w:p w14:paraId="33F1F112" w14:textId="40C99998" w:rsidR="006A0B22" w:rsidRPr="006A0B22" w:rsidRDefault="006A0B22" w:rsidP="006A0B22">
            <w:pPr>
              <w:rPr>
                <w:rFonts w:ascii="Times New Roman" w:hAnsi="Times New Roman" w:cs="Times New Roman"/>
                <w:sz w:val="28"/>
                <w:szCs w:val="28"/>
              </w:rPr>
            </w:pPr>
            <w:r w:rsidRPr="006A0B22">
              <w:rPr>
                <w:rFonts w:ascii="Times New Roman" w:hAnsi="Times New Roman" w:cs="Times New Roman"/>
                <w:sz w:val="28"/>
                <w:szCs w:val="28"/>
              </w:rPr>
              <w:t xml:space="preserve">                                 </w:t>
            </w:r>
            <w:r w:rsidRPr="006A0B22">
              <w:rPr>
                <w:rFonts w:ascii="Times New Roman" w:hAnsi="Times New Roman" w:cs="Times New Roman"/>
                <w:sz w:val="28"/>
                <w:szCs w:val="28"/>
              </w:rPr>
              <w:t>Git &amp; GitHub</w:t>
            </w:r>
          </w:p>
        </w:tc>
      </w:tr>
    </w:tbl>
    <w:p w14:paraId="68157B41" w14:textId="77777777" w:rsidR="00730F5C" w:rsidRDefault="006A0B22" w:rsidP="004B08B1">
      <w:pPr>
        <w:rPr>
          <w:rFonts w:ascii="Times New Roman" w:hAnsi="Times New Roman" w:cs="Times New Roman"/>
        </w:rPr>
      </w:pPr>
      <w:r w:rsidRPr="006A0B22">
        <w:rPr>
          <w:rFonts w:ascii="Times New Roman" w:hAnsi="Times New Roman" w:cs="Times New Roman"/>
        </w:rPr>
        <w:t>The ETL pipeline ensures that data remains accurate, consistent, and readily available for analytical workflows and dashboard visualization.</w:t>
      </w:r>
    </w:p>
    <w:p w14:paraId="29FBB8B0" w14:textId="0C9C2120" w:rsidR="00730F5C" w:rsidRDefault="00730F5C" w:rsidP="004B08B1">
      <w:pPr>
        <w:rPr>
          <w:rFonts w:ascii="Times New Roman" w:hAnsi="Times New Roman" w:cs="Times New Roman"/>
          <w:b/>
          <w:bCs/>
          <w:sz w:val="32"/>
          <w:szCs w:val="32"/>
        </w:rPr>
      </w:pPr>
      <w:r>
        <w:rPr>
          <w:rFonts w:ascii="Times New Roman" w:hAnsi="Times New Roman" w:cs="Times New Roman"/>
          <w:b/>
          <w:bCs/>
          <w:sz w:val="32"/>
          <w:szCs w:val="32"/>
        </w:rPr>
        <w:t xml:space="preserve">                                     </w:t>
      </w:r>
      <w:r w:rsidR="00E77AAA" w:rsidRPr="00E77AAA">
        <w:rPr>
          <w:rFonts w:ascii="Times New Roman" w:hAnsi="Times New Roman" w:cs="Times New Roman"/>
          <w:b/>
          <w:bCs/>
          <w:sz w:val="32"/>
          <w:szCs w:val="32"/>
        </w:rPr>
        <w:t>Database Schema</w:t>
      </w:r>
    </w:p>
    <w:p w14:paraId="2F300208" w14:textId="1B265E48" w:rsidR="008B7256" w:rsidRPr="00730F5C" w:rsidRDefault="008B7256" w:rsidP="004B08B1">
      <w:pPr>
        <w:rPr>
          <w:rFonts w:ascii="Times New Roman" w:hAnsi="Times New Roman" w:cs="Times New Roman"/>
          <w:b/>
          <w:bCs/>
          <w:sz w:val="32"/>
          <w:szCs w:val="32"/>
        </w:rPr>
      </w:pPr>
      <w:r w:rsidRPr="008B7256">
        <w:rPr>
          <w:rFonts w:ascii="Times New Roman" w:hAnsi="Times New Roman" w:cs="Times New Roman"/>
        </w:rPr>
        <w:lastRenderedPageBreak/>
        <w:t>The project uses an SQLite database to store cleaned and processed mutual fund datasets. The database consists of multiple tables representing fund information, investor activity, market performance, and portfolio holdings.</w:t>
      </w:r>
    </w:p>
    <w:p w14:paraId="42E8BC72" w14:textId="77777777" w:rsidR="008B7256" w:rsidRPr="008B7256" w:rsidRDefault="008B7256" w:rsidP="004B08B1">
      <w:pPr>
        <w:rPr>
          <w:rFonts w:ascii="Times New Roman" w:hAnsi="Times New Roman" w:cs="Times New Roman"/>
          <w:b/>
          <w:bCs/>
          <w:sz w:val="32"/>
          <w:szCs w:val="32"/>
        </w:rPr>
      </w:pPr>
      <w:r w:rsidRPr="008B7256">
        <w:rPr>
          <w:rFonts w:ascii="Times New Roman" w:hAnsi="Times New Roman" w:cs="Times New Roman"/>
          <w:b/>
          <w:bCs/>
          <w:sz w:val="32"/>
          <w:szCs w:val="32"/>
        </w:rPr>
        <w:t>Database Tables</w:t>
      </w:r>
    </w:p>
    <w:tbl>
      <w:tblPr>
        <w:tblW w:w="8957" w:type="dxa"/>
        <w:tblCellSpacing w:w="15" w:type="dxa"/>
        <w:tblCellMar>
          <w:top w:w="15" w:type="dxa"/>
          <w:left w:w="15" w:type="dxa"/>
          <w:bottom w:w="15" w:type="dxa"/>
          <w:right w:w="15" w:type="dxa"/>
        </w:tblCellMar>
        <w:tblLook w:val="04A0" w:firstRow="1" w:lastRow="0" w:firstColumn="1" w:lastColumn="0" w:noHBand="0" w:noVBand="1"/>
      </w:tblPr>
      <w:tblGrid>
        <w:gridCol w:w="3200"/>
        <w:gridCol w:w="5757"/>
      </w:tblGrid>
      <w:tr w:rsidR="008B7256" w:rsidRPr="008B7256" w14:paraId="137FB792" w14:textId="77777777" w:rsidTr="004B08B1">
        <w:trPr>
          <w:tblHeader/>
          <w:tblCellSpacing w:w="15" w:type="dxa"/>
        </w:trPr>
        <w:tc>
          <w:tcPr>
            <w:tcW w:w="0" w:type="auto"/>
            <w:vAlign w:val="center"/>
            <w:hideMark/>
          </w:tcPr>
          <w:p w14:paraId="75924C09"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Table Name</w:t>
            </w:r>
          </w:p>
        </w:tc>
        <w:tc>
          <w:tcPr>
            <w:tcW w:w="0" w:type="auto"/>
            <w:vAlign w:val="center"/>
            <w:hideMark/>
          </w:tcPr>
          <w:p w14:paraId="087BE152" w14:textId="24051AC3"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Description</w:t>
            </w:r>
          </w:p>
        </w:tc>
      </w:tr>
      <w:tr w:rsidR="008B7256" w:rsidRPr="008B7256" w14:paraId="4081B7A1" w14:textId="77777777" w:rsidTr="004B08B1">
        <w:trPr>
          <w:tblCellSpacing w:w="15" w:type="dxa"/>
        </w:trPr>
        <w:tc>
          <w:tcPr>
            <w:tcW w:w="0" w:type="auto"/>
            <w:vAlign w:val="center"/>
            <w:hideMark/>
          </w:tcPr>
          <w:p w14:paraId="25B21908"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clean_fund_master</w:t>
            </w:r>
          </w:p>
        </w:tc>
        <w:tc>
          <w:tcPr>
            <w:tcW w:w="0" w:type="auto"/>
            <w:vAlign w:val="center"/>
            <w:hideMark/>
          </w:tcPr>
          <w:p w14:paraId="3C771C33" w14:textId="3CC18074"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Master information for mutual fund schemes</w:t>
            </w:r>
          </w:p>
        </w:tc>
      </w:tr>
      <w:tr w:rsidR="008B7256" w:rsidRPr="008B7256" w14:paraId="010C7354" w14:textId="77777777" w:rsidTr="004B08B1">
        <w:trPr>
          <w:tblCellSpacing w:w="15" w:type="dxa"/>
        </w:trPr>
        <w:tc>
          <w:tcPr>
            <w:tcW w:w="0" w:type="auto"/>
            <w:vAlign w:val="center"/>
            <w:hideMark/>
          </w:tcPr>
          <w:p w14:paraId="4B6E72EE"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clean_nav_history</w:t>
            </w:r>
          </w:p>
        </w:tc>
        <w:tc>
          <w:tcPr>
            <w:tcW w:w="0" w:type="auto"/>
            <w:vAlign w:val="center"/>
            <w:hideMark/>
          </w:tcPr>
          <w:p w14:paraId="673BED53" w14:textId="3FC2DA58"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Historical NAV data used for return calculations</w:t>
            </w:r>
          </w:p>
        </w:tc>
      </w:tr>
      <w:tr w:rsidR="008B7256" w:rsidRPr="008B7256" w14:paraId="5717F23A" w14:textId="77777777" w:rsidTr="004B08B1">
        <w:trPr>
          <w:tblCellSpacing w:w="15" w:type="dxa"/>
        </w:trPr>
        <w:tc>
          <w:tcPr>
            <w:tcW w:w="0" w:type="auto"/>
            <w:vAlign w:val="center"/>
            <w:hideMark/>
          </w:tcPr>
          <w:p w14:paraId="55B11FC0"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clean_scheme_performance</w:t>
            </w:r>
          </w:p>
        </w:tc>
        <w:tc>
          <w:tcPr>
            <w:tcW w:w="0" w:type="auto"/>
            <w:vAlign w:val="center"/>
            <w:hideMark/>
          </w:tcPr>
          <w:p w14:paraId="1A7125FF" w14:textId="77777777" w:rsid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Fund performance metrics including returns,</w:t>
            </w:r>
          </w:p>
          <w:p w14:paraId="071BF879" w14:textId="75DB3EBC"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alpha, beta, Sharpe ratio, and risk grades</w:t>
            </w:r>
          </w:p>
        </w:tc>
      </w:tr>
      <w:tr w:rsidR="008B7256" w:rsidRPr="008B7256" w14:paraId="74B4A3BE" w14:textId="77777777" w:rsidTr="004B08B1">
        <w:trPr>
          <w:tblCellSpacing w:w="15" w:type="dxa"/>
        </w:trPr>
        <w:tc>
          <w:tcPr>
            <w:tcW w:w="0" w:type="auto"/>
            <w:vAlign w:val="center"/>
            <w:hideMark/>
          </w:tcPr>
          <w:p w14:paraId="4CB484B8"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clean_benchmark_indices</w:t>
            </w:r>
          </w:p>
        </w:tc>
        <w:tc>
          <w:tcPr>
            <w:tcW w:w="0" w:type="auto"/>
            <w:vAlign w:val="center"/>
            <w:hideMark/>
          </w:tcPr>
          <w:p w14:paraId="44546507" w14:textId="7DED6A85"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Benchmark index performance data</w:t>
            </w:r>
          </w:p>
        </w:tc>
      </w:tr>
      <w:tr w:rsidR="008B7256" w:rsidRPr="008B7256" w14:paraId="31F151D8" w14:textId="77777777" w:rsidTr="004B08B1">
        <w:trPr>
          <w:tblCellSpacing w:w="15" w:type="dxa"/>
        </w:trPr>
        <w:tc>
          <w:tcPr>
            <w:tcW w:w="0" w:type="auto"/>
            <w:vAlign w:val="center"/>
            <w:hideMark/>
          </w:tcPr>
          <w:p w14:paraId="50FAA6EF"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clean_aum_by_fund_house</w:t>
            </w:r>
          </w:p>
        </w:tc>
        <w:tc>
          <w:tcPr>
            <w:tcW w:w="0" w:type="auto"/>
            <w:vAlign w:val="center"/>
            <w:hideMark/>
          </w:tcPr>
          <w:p w14:paraId="176E76CA" w14:textId="77777777" w:rsid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 xml:space="preserve">Assets Under Management (AUM) by fund </w:t>
            </w:r>
          </w:p>
          <w:p w14:paraId="3AE302DB" w14:textId="6D1FF456"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house</w:t>
            </w:r>
          </w:p>
        </w:tc>
      </w:tr>
      <w:tr w:rsidR="008B7256" w:rsidRPr="008B7256" w14:paraId="656021AB" w14:textId="77777777" w:rsidTr="004B08B1">
        <w:trPr>
          <w:tblCellSpacing w:w="15" w:type="dxa"/>
        </w:trPr>
        <w:tc>
          <w:tcPr>
            <w:tcW w:w="0" w:type="auto"/>
            <w:vAlign w:val="center"/>
            <w:hideMark/>
          </w:tcPr>
          <w:p w14:paraId="11DD8D7C"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clean_industry_folio_count</w:t>
            </w:r>
          </w:p>
        </w:tc>
        <w:tc>
          <w:tcPr>
            <w:tcW w:w="0" w:type="auto"/>
            <w:vAlign w:val="center"/>
            <w:hideMark/>
          </w:tcPr>
          <w:p w14:paraId="7B89827E" w14:textId="577697B1"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Industry folio statistics</w:t>
            </w:r>
          </w:p>
        </w:tc>
      </w:tr>
      <w:tr w:rsidR="008B7256" w:rsidRPr="008B7256" w14:paraId="16E550C9" w14:textId="77777777" w:rsidTr="004B08B1">
        <w:trPr>
          <w:tblCellSpacing w:w="15" w:type="dxa"/>
        </w:trPr>
        <w:tc>
          <w:tcPr>
            <w:tcW w:w="0" w:type="auto"/>
            <w:vAlign w:val="center"/>
            <w:hideMark/>
          </w:tcPr>
          <w:p w14:paraId="33F88DBD"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clean_monthly_sip_inflows</w:t>
            </w:r>
          </w:p>
        </w:tc>
        <w:tc>
          <w:tcPr>
            <w:tcW w:w="0" w:type="auto"/>
            <w:vAlign w:val="center"/>
            <w:hideMark/>
          </w:tcPr>
          <w:p w14:paraId="616265B9" w14:textId="47105A95"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Monthly SIP inflow trends</w:t>
            </w:r>
          </w:p>
        </w:tc>
      </w:tr>
      <w:tr w:rsidR="008B7256" w:rsidRPr="008B7256" w14:paraId="3C623261" w14:textId="77777777" w:rsidTr="004B08B1">
        <w:trPr>
          <w:tblCellSpacing w:w="15" w:type="dxa"/>
        </w:trPr>
        <w:tc>
          <w:tcPr>
            <w:tcW w:w="0" w:type="auto"/>
            <w:vAlign w:val="center"/>
            <w:hideMark/>
          </w:tcPr>
          <w:p w14:paraId="7658FC0B"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clean_investor_transactions</w:t>
            </w:r>
          </w:p>
        </w:tc>
        <w:tc>
          <w:tcPr>
            <w:tcW w:w="0" w:type="auto"/>
            <w:vAlign w:val="center"/>
            <w:hideMark/>
          </w:tcPr>
          <w:p w14:paraId="4ECA27B5" w14:textId="6421044C"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Investor transaction records</w:t>
            </w:r>
          </w:p>
        </w:tc>
      </w:tr>
      <w:tr w:rsidR="008B7256" w:rsidRPr="008B7256" w14:paraId="58D057E0" w14:textId="77777777" w:rsidTr="004B08B1">
        <w:trPr>
          <w:tblCellSpacing w:w="15" w:type="dxa"/>
        </w:trPr>
        <w:tc>
          <w:tcPr>
            <w:tcW w:w="0" w:type="auto"/>
            <w:vAlign w:val="center"/>
            <w:hideMark/>
          </w:tcPr>
          <w:p w14:paraId="1E339519"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clean_portfolio_holdings</w:t>
            </w:r>
          </w:p>
        </w:tc>
        <w:tc>
          <w:tcPr>
            <w:tcW w:w="0" w:type="auto"/>
            <w:vAlign w:val="center"/>
            <w:hideMark/>
          </w:tcPr>
          <w:p w14:paraId="3BEB9C1A" w14:textId="23BDEED8"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Portfolio composition and sector allocation</w:t>
            </w:r>
          </w:p>
        </w:tc>
      </w:tr>
      <w:tr w:rsidR="008B7256" w:rsidRPr="008B7256" w14:paraId="69063782" w14:textId="77777777" w:rsidTr="004B08B1">
        <w:trPr>
          <w:tblCellSpacing w:w="15" w:type="dxa"/>
        </w:trPr>
        <w:tc>
          <w:tcPr>
            <w:tcW w:w="0" w:type="auto"/>
            <w:vAlign w:val="center"/>
            <w:hideMark/>
          </w:tcPr>
          <w:p w14:paraId="4BC822B0" w14:textId="77777777" w:rsidR="008B7256" w:rsidRPr="008B7256" w:rsidRDefault="008B7256" w:rsidP="008B7256">
            <w:pPr>
              <w:rPr>
                <w:rFonts w:ascii="Times New Roman" w:hAnsi="Times New Roman" w:cs="Times New Roman"/>
                <w:sz w:val="28"/>
                <w:szCs w:val="28"/>
              </w:rPr>
            </w:pPr>
            <w:r w:rsidRPr="008B7256">
              <w:rPr>
                <w:rFonts w:ascii="Times New Roman" w:hAnsi="Times New Roman" w:cs="Times New Roman"/>
                <w:sz w:val="28"/>
                <w:szCs w:val="28"/>
              </w:rPr>
              <w:t>clean_category_inflows</w:t>
            </w:r>
          </w:p>
        </w:tc>
        <w:tc>
          <w:tcPr>
            <w:tcW w:w="0" w:type="auto"/>
            <w:vAlign w:val="center"/>
            <w:hideMark/>
          </w:tcPr>
          <w:p w14:paraId="57E78C82" w14:textId="48809F79" w:rsidR="008B7256" w:rsidRPr="008B7256" w:rsidRDefault="008B7256" w:rsidP="008B7256">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Category-wise fund inflows</w:t>
            </w:r>
          </w:p>
        </w:tc>
      </w:tr>
    </w:tbl>
    <w:p w14:paraId="2E8C5FBA" w14:textId="77777777" w:rsidR="008B7256" w:rsidRPr="008B7256" w:rsidRDefault="008B7256" w:rsidP="004B08B1">
      <w:pPr>
        <w:rPr>
          <w:rFonts w:ascii="Times New Roman" w:hAnsi="Times New Roman" w:cs="Times New Roman"/>
          <w:b/>
          <w:bCs/>
          <w:sz w:val="28"/>
          <w:szCs w:val="28"/>
        </w:rPr>
      </w:pPr>
      <w:r w:rsidRPr="008B7256">
        <w:rPr>
          <w:rFonts w:ascii="Times New Roman" w:hAnsi="Times New Roman" w:cs="Times New Roman"/>
          <w:b/>
          <w:bCs/>
          <w:sz w:val="28"/>
          <w:szCs w:val="28"/>
        </w:rPr>
        <w:t>Schema Relationships</w:t>
      </w:r>
    </w:p>
    <w:p w14:paraId="5A4132D1" w14:textId="77777777" w:rsidR="008B7256" w:rsidRPr="008B7256" w:rsidRDefault="008B7256" w:rsidP="004B08B1">
      <w:pPr>
        <w:numPr>
          <w:ilvl w:val="0"/>
          <w:numId w:val="3"/>
        </w:numPr>
        <w:rPr>
          <w:rFonts w:ascii="Times New Roman" w:hAnsi="Times New Roman" w:cs="Times New Roman"/>
          <w:sz w:val="28"/>
          <w:szCs w:val="28"/>
        </w:rPr>
      </w:pPr>
      <w:r w:rsidRPr="008B7256">
        <w:rPr>
          <w:rFonts w:ascii="Times New Roman" w:hAnsi="Times New Roman" w:cs="Times New Roman"/>
          <w:sz w:val="28"/>
          <w:szCs w:val="28"/>
        </w:rPr>
        <w:t xml:space="preserve">amfi_code acts as the primary linking key across multiple datasets. </w:t>
      </w:r>
    </w:p>
    <w:p w14:paraId="12476A60" w14:textId="77777777" w:rsidR="008B7256" w:rsidRPr="008B7256" w:rsidRDefault="008B7256" w:rsidP="004B08B1">
      <w:pPr>
        <w:numPr>
          <w:ilvl w:val="0"/>
          <w:numId w:val="3"/>
        </w:numPr>
        <w:rPr>
          <w:rFonts w:ascii="Times New Roman" w:hAnsi="Times New Roman" w:cs="Times New Roman"/>
          <w:sz w:val="28"/>
          <w:szCs w:val="28"/>
        </w:rPr>
      </w:pPr>
      <w:r w:rsidRPr="008B7256">
        <w:rPr>
          <w:rFonts w:ascii="Times New Roman" w:hAnsi="Times New Roman" w:cs="Times New Roman"/>
          <w:sz w:val="28"/>
          <w:szCs w:val="28"/>
        </w:rPr>
        <w:t xml:space="preserve">Fund master data provides scheme-level metadata. </w:t>
      </w:r>
    </w:p>
    <w:p w14:paraId="58C88E4F" w14:textId="77777777" w:rsidR="008B7256" w:rsidRPr="008B7256" w:rsidRDefault="008B7256" w:rsidP="004B08B1">
      <w:pPr>
        <w:numPr>
          <w:ilvl w:val="0"/>
          <w:numId w:val="3"/>
        </w:numPr>
        <w:rPr>
          <w:rFonts w:ascii="Times New Roman" w:hAnsi="Times New Roman" w:cs="Times New Roman"/>
          <w:sz w:val="28"/>
          <w:szCs w:val="28"/>
        </w:rPr>
      </w:pPr>
      <w:r w:rsidRPr="008B7256">
        <w:rPr>
          <w:rFonts w:ascii="Times New Roman" w:hAnsi="Times New Roman" w:cs="Times New Roman"/>
          <w:sz w:val="28"/>
          <w:szCs w:val="28"/>
        </w:rPr>
        <w:t xml:space="preserve">NAV history connects to scheme performance calculations. </w:t>
      </w:r>
    </w:p>
    <w:p w14:paraId="210857B3" w14:textId="77777777" w:rsidR="008B7256" w:rsidRPr="008B7256" w:rsidRDefault="008B7256" w:rsidP="004B08B1">
      <w:pPr>
        <w:numPr>
          <w:ilvl w:val="0"/>
          <w:numId w:val="3"/>
        </w:numPr>
        <w:rPr>
          <w:rFonts w:ascii="Times New Roman" w:hAnsi="Times New Roman" w:cs="Times New Roman"/>
          <w:sz w:val="28"/>
          <w:szCs w:val="28"/>
        </w:rPr>
      </w:pPr>
      <w:r w:rsidRPr="008B7256">
        <w:rPr>
          <w:rFonts w:ascii="Times New Roman" w:hAnsi="Times New Roman" w:cs="Times New Roman"/>
          <w:sz w:val="28"/>
          <w:szCs w:val="28"/>
        </w:rPr>
        <w:t xml:space="preserve">Investor transactions support cohort and SIP continuity analysis. </w:t>
      </w:r>
    </w:p>
    <w:p w14:paraId="58193030" w14:textId="77777777" w:rsidR="008B7256" w:rsidRPr="008B7256" w:rsidRDefault="008B7256" w:rsidP="004B08B1">
      <w:pPr>
        <w:numPr>
          <w:ilvl w:val="0"/>
          <w:numId w:val="3"/>
        </w:numPr>
        <w:rPr>
          <w:rFonts w:ascii="Times New Roman" w:hAnsi="Times New Roman" w:cs="Times New Roman"/>
          <w:sz w:val="28"/>
          <w:szCs w:val="28"/>
        </w:rPr>
      </w:pPr>
      <w:r w:rsidRPr="008B7256">
        <w:rPr>
          <w:rFonts w:ascii="Times New Roman" w:hAnsi="Times New Roman" w:cs="Times New Roman"/>
          <w:sz w:val="28"/>
          <w:szCs w:val="28"/>
        </w:rPr>
        <w:t xml:space="preserve">Portfolio holdings support concentration and sector analysis. </w:t>
      </w:r>
    </w:p>
    <w:p w14:paraId="595A8A30" w14:textId="77777777" w:rsidR="008B7256" w:rsidRPr="008B7256" w:rsidRDefault="008B7256" w:rsidP="004B08B1">
      <w:pPr>
        <w:numPr>
          <w:ilvl w:val="0"/>
          <w:numId w:val="3"/>
        </w:numPr>
        <w:rPr>
          <w:rFonts w:ascii="Times New Roman" w:hAnsi="Times New Roman" w:cs="Times New Roman"/>
          <w:sz w:val="28"/>
          <w:szCs w:val="28"/>
        </w:rPr>
      </w:pPr>
      <w:r w:rsidRPr="008B7256">
        <w:rPr>
          <w:rFonts w:ascii="Times New Roman" w:hAnsi="Times New Roman" w:cs="Times New Roman"/>
          <w:sz w:val="28"/>
          <w:szCs w:val="28"/>
        </w:rPr>
        <w:t xml:space="preserve">Benchmark data is used for performance comparison and risk-adjusted metrics. </w:t>
      </w:r>
    </w:p>
    <w:p w14:paraId="01742ABC" w14:textId="77777777" w:rsidR="008B7256" w:rsidRPr="008B7256" w:rsidRDefault="008B7256" w:rsidP="004B08B1">
      <w:pPr>
        <w:rPr>
          <w:rFonts w:ascii="Times New Roman" w:hAnsi="Times New Roman" w:cs="Times New Roman"/>
          <w:b/>
          <w:bCs/>
          <w:sz w:val="28"/>
          <w:szCs w:val="28"/>
        </w:rPr>
      </w:pPr>
      <w:r w:rsidRPr="008B7256">
        <w:rPr>
          <w:rFonts w:ascii="Times New Roman" w:hAnsi="Times New Roman" w:cs="Times New Roman"/>
          <w:b/>
          <w:bCs/>
          <w:sz w:val="28"/>
          <w:szCs w:val="28"/>
        </w:rPr>
        <w:t>Database Design Benefits</w:t>
      </w:r>
    </w:p>
    <w:p w14:paraId="609812DC" w14:textId="77777777" w:rsidR="008B7256" w:rsidRPr="008B7256" w:rsidRDefault="008B7256" w:rsidP="004B08B1">
      <w:pPr>
        <w:rPr>
          <w:rFonts w:ascii="Times New Roman" w:hAnsi="Times New Roman" w:cs="Times New Roman"/>
          <w:sz w:val="28"/>
          <w:szCs w:val="28"/>
        </w:rPr>
      </w:pPr>
      <w:r w:rsidRPr="008B7256">
        <w:rPr>
          <w:rFonts w:ascii="Times New Roman" w:hAnsi="Times New Roman" w:cs="Times New Roman"/>
          <w:sz w:val="28"/>
          <w:szCs w:val="28"/>
        </w:rPr>
        <w:lastRenderedPageBreak/>
        <w:t>The database structure provides:</w:t>
      </w:r>
    </w:p>
    <w:p w14:paraId="45187457" w14:textId="77777777" w:rsidR="008B7256" w:rsidRPr="008B7256" w:rsidRDefault="008B7256" w:rsidP="004B08B1">
      <w:pPr>
        <w:numPr>
          <w:ilvl w:val="0"/>
          <w:numId w:val="4"/>
        </w:numPr>
        <w:rPr>
          <w:rFonts w:ascii="Times New Roman" w:hAnsi="Times New Roman" w:cs="Times New Roman"/>
          <w:sz w:val="28"/>
          <w:szCs w:val="28"/>
        </w:rPr>
      </w:pPr>
      <w:r w:rsidRPr="008B7256">
        <w:rPr>
          <w:rFonts w:ascii="Times New Roman" w:hAnsi="Times New Roman" w:cs="Times New Roman"/>
          <w:sz w:val="28"/>
          <w:szCs w:val="28"/>
        </w:rPr>
        <w:t xml:space="preserve">Centralized storage for all processed datasets. </w:t>
      </w:r>
    </w:p>
    <w:p w14:paraId="5633FA8E" w14:textId="77777777" w:rsidR="008B7256" w:rsidRPr="008B7256" w:rsidRDefault="008B7256" w:rsidP="004B08B1">
      <w:pPr>
        <w:numPr>
          <w:ilvl w:val="0"/>
          <w:numId w:val="4"/>
        </w:numPr>
        <w:rPr>
          <w:rFonts w:ascii="Times New Roman" w:hAnsi="Times New Roman" w:cs="Times New Roman"/>
          <w:sz w:val="28"/>
          <w:szCs w:val="28"/>
        </w:rPr>
      </w:pPr>
      <w:r w:rsidRPr="008B7256">
        <w:rPr>
          <w:rFonts w:ascii="Times New Roman" w:hAnsi="Times New Roman" w:cs="Times New Roman"/>
          <w:sz w:val="28"/>
          <w:szCs w:val="28"/>
        </w:rPr>
        <w:t xml:space="preserve">Efficient querying and analysis. </w:t>
      </w:r>
    </w:p>
    <w:p w14:paraId="23200855" w14:textId="77777777" w:rsidR="008B7256" w:rsidRPr="008B7256" w:rsidRDefault="008B7256" w:rsidP="004B08B1">
      <w:pPr>
        <w:numPr>
          <w:ilvl w:val="0"/>
          <w:numId w:val="4"/>
        </w:numPr>
        <w:rPr>
          <w:rFonts w:ascii="Times New Roman" w:hAnsi="Times New Roman" w:cs="Times New Roman"/>
          <w:sz w:val="28"/>
          <w:szCs w:val="28"/>
        </w:rPr>
      </w:pPr>
      <w:r w:rsidRPr="008B7256">
        <w:rPr>
          <w:rFonts w:ascii="Times New Roman" w:hAnsi="Times New Roman" w:cs="Times New Roman"/>
          <w:sz w:val="28"/>
          <w:szCs w:val="28"/>
        </w:rPr>
        <w:t xml:space="preserve">Reduced data redundancy. </w:t>
      </w:r>
    </w:p>
    <w:p w14:paraId="1EEC6A31" w14:textId="77777777" w:rsidR="008B7256" w:rsidRPr="008B7256" w:rsidRDefault="008B7256" w:rsidP="004B08B1">
      <w:pPr>
        <w:numPr>
          <w:ilvl w:val="0"/>
          <w:numId w:val="4"/>
        </w:numPr>
        <w:rPr>
          <w:rFonts w:ascii="Times New Roman" w:hAnsi="Times New Roman" w:cs="Times New Roman"/>
          <w:sz w:val="28"/>
          <w:szCs w:val="28"/>
        </w:rPr>
      </w:pPr>
      <w:r w:rsidRPr="008B7256">
        <w:rPr>
          <w:rFonts w:ascii="Times New Roman" w:hAnsi="Times New Roman" w:cs="Times New Roman"/>
          <w:sz w:val="28"/>
          <w:szCs w:val="28"/>
        </w:rPr>
        <w:t xml:space="preserve">Consistent integration across analytics modules. </w:t>
      </w:r>
    </w:p>
    <w:p w14:paraId="6EB28DF3" w14:textId="77777777" w:rsidR="008B7256" w:rsidRPr="008B7256" w:rsidRDefault="008B7256" w:rsidP="004B08B1">
      <w:pPr>
        <w:numPr>
          <w:ilvl w:val="0"/>
          <w:numId w:val="4"/>
        </w:numPr>
        <w:rPr>
          <w:rFonts w:ascii="Times New Roman" w:hAnsi="Times New Roman" w:cs="Times New Roman"/>
          <w:sz w:val="28"/>
          <w:szCs w:val="28"/>
        </w:rPr>
      </w:pPr>
      <w:r w:rsidRPr="008B7256">
        <w:rPr>
          <w:rFonts w:ascii="Times New Roman" w:hAnsi="Times New Roman" w:cs="Times New Roman"/>
          <w:sz w:val="28"/>
          <w:szCs w:val="28"/>
        </w:rPr>
        <w:t xml:space="preserve">Seamless connection with Power BI dashboards. </w:t>
      </w:r>
    </w:p>
    <w:p w14:paraId="52FC8D4D" w14:textId="77777777" w:rsidR="008B7256" w:rsidRPr="008B7256" w:rsidRDefault="008B7256" w:rsidP="004B08B1">
      <w:pPr>
        <w:rPr>
          <w:rFonts w:ascii="Times New Roman" w:hAnsi="Times New Roman" w:cs="Times New Roman"/>
          <w:b/>
          <w:bCs/>
          <w:sz w:val="28"/>
          <w:szCs w:val="28"/>
        </w:rPr>
      </w:pPr>
      <w:r w:rsidRPr="008B7256">
        <w:rPr>
          <w:rFonts w:ascii="Times New Roman" w:hAnsi="Times New Roman" w:cs="Times New Roman"/>
          <w:b/>
          <w:bCs/>
          <w:sz w:val="28"/>
          <w:szCs w:val="28"/>
        </w:rPr>
        <w:t>Data Flow</w:t>
      </w:r>
    </w:p>
    <w:p w14:paraId="12BD2DC5" w14:textId="77777777" w:rsidR="004B08B1" w:rsidRDefault="008B7256" w:rsidP="004B08B1">
      <w:pPr>
        <w:rPr>
          <w:rFonts w:ascii="Times New Roman" w:hAnsi="Times New Roman" w:cs="Times New Roman"/>
          <w:sz w:val="28"/>
          <w:szCs w:val="28"/>
        </w:rPr>
      </w:pPr>
      <w:r>
        <w:rPr>
          <w:rFonts w:ascii="Times New Roman" w:hAnsi="Times New Roman" w:cs="Times New Roman"/>
          <w:sz w:val="28"/>
          <w:szCs w:val="28"/>
        </w:rPr>
        <w:t xml:space="preserve">                                    </w:t>
      </w:r>
      <w:r w:rsidRPr="008B7256">
        <w:rPr>
          <w:rFonts w:ascii="Times New Roman" w:hAnsi="Times New Roman" w:cs="Times New Roman"/>
          <w:sz w:val="28"/>
          <w:szCs w:val="28"/>
        </w:rPr>
        <w:t>Fund Master Data</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NAV History</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Performance Metrics</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Investor Transactions</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Portfolio Holdings</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SQLite Database</w:t>
      </w:r>
      <w:r w:rsidRPr="008B7256">
        <w:rPr>
          <w:rFonts w:ascii="Times New Roman" w:hAnsi="Times New Roman" w:cs="Times New Roman"/>
          <w:sz w:val="28"/>
          <w:szCs w:val="28"/>
        </w:rPr>
        <w:br/>
      </w:r>
      <w:r>
        <w:rPr>
          <w:rFonts w:ascii="Times New Roman" w:hAnsi="Times New Roman" w:cs="Times New Roman"/>
          <w:sz w:val="28"/>
          <w:szCs w:val="28"/>
        </w:rPr>
        <w:t xml:space="preserve">                                                </w:t>
      </w:r>
      <w:r w:rsidRPr="008B7256">
        <w:rPr>
          <w:rFonts w:ascii="Times New Roman" w:hAnsi="Times New Roman" w:cs="Times New Roman"/>
          <w:sz w:val="28"/>
          <w:szCs w:val="28"/>
        </w:rPr>
        <w:t>↓</w:t>
      </w:r>
    </w:p>
    <w:p w14:paraId="3DC59DB6" w14:textId="71DADFDC" w:rsidR="008B7256" w:rsidRDefault="004B08B1" w:rsidP="004B08B1">
      <w:pPr>
        <w:rPr>
          <w:rFonts w:ascii="Times New Roman" w:hAnsi="Times New Roman" w:cs="Times New Roman"/>
          <w:sz w:val="28"/>
          <w:szCs w:val="28"/>
        </w:rPr>
      </w:pPr>
      <w:r>
        <w:rPr>
          <w:rFonts w:ascii="Times New Roman" w:hAnsi="Times New Roman" w:cs="Times New Roman"/>
          <w:sz w:val="28"/>
          <w:szCs w:val="28"/>
        </w:rPr>
        <w:t xml:space="preserve">                       </w:t>
      </w:r>
      <w:r w:rsidR="008B7256" w:rsidRPr="004B08B1">
        <w:rPr>
          <w:rFonts w:ascii="Times New Roman" w:hAnsi="Times New Roman" w:cs="Times New Roman"/>
          <w:sz w:val="28"/>
          <w:szCs w:val="28"/>
        </w:rPr>
        <w:t>Analytics &amp; Dashboard Layer</w:t>
      </w:r>
    </w:p>
    <w:p w14:paraId="26FA4FDD" w14:textId="77777777" w:rsidR="004B08B1" w:rsidRPr="004B08B1" w:rsidRDefault="004B08B1" w:rsidP="004B08B1">
      <w:pPr>
        <w:rPr>
          <w:rFonts w:ascii="Times New Roman" w:hAnsi="Times New Roman" w:cs="Times New Roman"/>
          <w:sz w:val="28"/>
          <w:szCs w:val="28"/>
        </w:rPr>
      </w:pPr>
    </w:p>
    <w:p w14:paraId="2DFC9137" w14:textId="57534654" w:rsidR="008B7256" w:rsidRDefault="008B7256" w:rsidP="004B08B1">
      <w:pPr>
        <w:rPr>
          <w:rFonts w:ascii="Times New Roman" w:hAnsi="Times New Roman" w:cs="Times New Roman"/>
          <w:b/>
          <w:bCs/>
          <w:sz w:val="32"/>
          <w:szCs w:val="32"/>
        </w:rPr>
      </w:pPr>
      <w:r w:rsidRPr="004B08B1">
        <w:rPr>
          <w:rFonts w:ascii="Times New Roman" w:hAnsi="Times New Roman" w:cs="Times New Roman"/>
        </w:rPr>
        <w:t>The database schema was designed to support both exploratory analysis and advanced financial analytics while maintaining data consistency across the project</w:t>
      </w:r>
      <w:r w:rsidRPr="008B7256">
        <w:rPr>
          <w:rFonts w:ascii="Times New Roman" w:hAnsi="Times New Roman" w:cs="Times New Roman"/>
          <w:sz w:val="28"/>
          <w:szCs w:val="28"/>
        </w:rPr>
        <w:t>.</w:t>
      </w:r>
    </w:p>
    <w:p w14:paraId="0512639D" w14:textId="77777777" w:rsidR="008B7256" w:rsidRDefault="008B7256" w:rsidP="004B08B1">
      <w:pPr>
        <w:rPr>
          <w:rFonts w:ascii="Times New Roman" w:hAnsi="Times New Roman" w:cs="Times New Roman"/>
          <w:b/>
          <w:bCs/>
          <w:sz w:val="32"/>
          <w:szCs w:val="32"/>
        </w:rPr>
      </w:pPr>
    </w:p>
    <w:p w14:paraId="502B110B" w14:textId="287F666E" w:rsidR="008B7256" w:rsidRDefault="004B08B1" w:rsidP="004B08B1">
      <w:pPr>
        <w:rPr>
          <w:rFonts w:ascii="Times New Roman" w:hAnsi="Times New Roman" w:cs="Times New Roman"/>
          <w:b/>
          <w:bCs/>
          <w:sz w:val="32"/>
          <w:szCs w:val="32"/>
        </w:rPr>
      </w:pPr>
      <w:r>
        <w:rPr>
          <w:rFonts w:ascii="Times New Roman" w:hAnsi="Times New Roman" w:cs="Times New Roman"/>
          <w:b/>
          <w:bCs/>
          <w:sz w:val="32"/>
          <w:szCs w:val="32"/>
        </w:rPr>
        <w:t xml:space="preserve">                             </w:t>
      </w:r>
      <w:r w:rsidR="00E77AAA" w:rsidRPr="00E77AAA">
        <w:rPr>
          <w:rFonts w:ascii="Times New Roman" w:hAnsi="Times New Roman" w:cs="Times New Roman"/>
          <w:b/>
          <w:bCs/>
          <w:sz w:val="32"/>
          <w:szCs w:val="32"/>
        </w:rPr>
        <w:t>Exploratory Data Analysis</w:t>
      </w:r>
    </w:p>
    <w:p w14:paraId="09137B62"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Exploratory Data Analysis (EDA) was conducted to understand the structure, quality, and distribution of the mutual fund datasets before performing advanced analytics. The analysis focused on identifying trends, patterns, and relationships across fund performance, investor activity, SIP inflows, and portfolio holdings.</w:t>
      </w:r>
    </w:p>
    <w:p w14:paraId="4B711A18" w14:textId="77777777" w:rsidR="008B7256" w:rsidRPr="00133771" w:rsidRDefault="008B7256" w:rsidP="004B08B1">
      <w:pPr>
        <w:rPr>
          <w:rFonts w:ascii="Times New Roman" w:hAnsi="Times New Roman" w:cs="Times New Roman"/>
          <w:b/>
          <w:bCs/>
          <w:sz w:val="28"/>
          <w:szCs w:val="28"/>
        </w:rPr>
      </w:pPr>
      <w:r w:rsidRPr="00133771">
        <w:rPr>
          <w:rFonts w:ascii="Times New Roman" w:hAnsi="Times New Roman" w:cs="Times New Roman"/>
          <w:b/>
          <w:bCs/>
          <w:sz w:val="28"/>
          <w:szCs w:val="28"/>
        </w:rPr>
        <w:t>Data Quality Assessment</w:t>
      </w:r>
    </w:p>
    <w:p w14:paraId="4D02ED19"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The datasets were examined for:</w:t>
      </w:r>
    </w:p>
    <w:p w14:paraId="044EC4E2" w14:textId="77777777" w:rsidR="008B7256" w:rsidRPr="008B7256" w:rsidRDefault="008B7256" w:rsidP="004B08B1">
      <w:pPr>
        <w:numPr>
          <w:ilvl w:val="0"/>
          <w:numId w:val="5"/>
        </w:numPr>
        <w:rPr>
          <w:rFonts w:ascii="Times New Roman" w:hAnsi="Times New Roman" w:cs="Times New Roman"/>
        </w:rPr>
      </w:pPr>
      <w:r w:rsidRPr="008B7256">
        <w:rPr>
          <w:rFonts w:ascii="Times New Roman" w:hAnsi="Times New Roman" w:cs="Times New Roman"/>
        </w:rPr>
        <w:lastRenderedPageBreak/>
        <w:t xml:space="preserve">Missing values </w:t>
      </w:r>
    </w:p>
    <w:p w14:paraId="5CE3BBAF" w14:textId="77777777" w:rsidR="008B7256" w:rsidRPr="008B7256" w:rsidRDefault="008B7256" w:rsidP="004B08B1">
      <w:pPr>
        <w:numPr>
          <w:ilvl w:val="0"/>
          <w:numId w:val="5"/>
        </w:numPr>
        <w:rPr>
          <w:rFonts w:ascii="Times New Roman" w:hAnsi="Times New Roman" w:cs="Times New Roman"/>
        </w:rPr>
      </w:pPr>
      <w:r w:rsidRPr="008B7256">
        <w:rPr>
          <w:rFonts w:ascii="Times New Roman" w:hAnsi="Times New Roman" w:cs="Times New Roman"/>
        </w:rPr>
        <w:t xml:space="preserve">Duplicate records </w:t>
      </w:r>
    </w:p>
    <w:p w14:paraId="27A42183" w14:textId="77777777" w:rsidR="008B7256" w:rsidRPr="008B7256" w:rsidRDefault="008B7256" w:rsidP="004B08B1">
      <w:pPr>
        <w:numPr>
          <w:ilvl w:val="0"/>
          <w:numId w:val="5"/>
        </w:numPr>
        <w:rPr>
          <w:rFonts w:ascii="Times New Roman" w:hAnsi="Times New Roman" w:cs="Times New Roman"/>
        </w:rPr>
      </w:pPr>
      <w:r w:rsidRPr="008B7256">
        <w:rPr>
          <w:rFonts w:ascii="Times New Roman" w:hAnsi="Times New Roman" w:cs="Times New Roman"/>
        </w:rPr>
        <w:t xml:space="preserve">Data type inconsistencies </w:t>
      </w:r>
    </w:p>
    <w:p w14:paraId="5EA65882" w14:textId="77777777" w:rsidR="008B7256" w:rsidRPr="008B7256" w:rsidRDefault="008B7256" w:rsidP="004B08B1">
      <w:pPr>
        <w:numPr>
          <w:ilvl w:val="0"/>
          <w:numId w:val="5"/>
        </w:numPr>
        <w:rPr>
          <w:rFonts w:ascii="Times New Roman" w:hAnsi="Times New Roman" w:cs="Times New Roman"/>
        </w:rPr>
      </w:pPr>
      <w:r w:rsidRPr="008B7256">
        <w:rPr>
          <w:rFonts w:ascii="Times New Roman" w:hAnsi="Times New Roman" w:cs="Times New Roman"/>
        </w:rPr>
        <w:t xml:space="preserve">Outliers and anomalies </w:t>
      </w:r>
    </w:p>
    <w:p w14:paraId="2E9E5CBA" w14:textId="77777777" w:rsidR="008B7256" w:rsidRPr="008B7256" w:rsidRDefault="008B7256" w:rsidP="004B08B1">
      <w:pPr>
        <w:numPr>
          <w:ilvl w:val="0"/>
          <w:numId w:val="5"/>
        </w:numPr>
        <w:rPr>
          <w:rFonts w:ascii="Times New Roman" w:hAnsi="Times New Roman" w:cs="Times New Roman"/>
        </w:rPr>
      </w:pPr>
      <w:r w:rsidRPr="008B7256">
        <w:rPr>
          <w:rFonts w:ascii="Times New Roman" w:hAnsi="Times New Roman" w:cs="Times New Roman"/>
        </w:rPr>
        <w:t xml:space="preserve">Invalid date formats </w:t>
      </w:r>
    </w:p>
    <w:p w14:paraId="0C581BD2"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Data cleaning procedures ensured consistency across all datasets before analysis.</w:t>
      </w:r>
    </w:p>
    <w:p w14:paraId="2B300F5F" w14:textId="77777777" w:rsidR="008B7256" w:rsidRPr="00133771" w:rsidRDefault="008B7256" w:rsidP="004B08B1">
      <w:pPr>
        <w:rPr>
          <w:rFonts w:ascii="Times New Roman" w:hAnsi="Times New Roman" w:cs="Times New Roman"/>
          <w:b/>
          <w:bCs/>
          <w:sz w:val="28"/>
          <w:szCs w:val="28"/>
        </w:rPr>
      </w:pPr>
      <w:r w:rsidRPr="00133771">
        <w:rPr>
          <w:rFonts w:ascii="Times New Roman" w:hAnsi="Times New Roman" w:cs="Times New Roman"/>
          <w:b/>
          <w:bCs/>
          <w:sz w:val="28"/>
          <w:szCs w:val="28"/>
        </w:rPr>
        <w:t>Fund Distribution Analysis</w:t>
      </w:r>
    </w:p>
    <w:p w14:paraId="6DCA7F4F"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The mutual fund universe consists of schemes across multiple categories including:</w:t>
      </w:r>
    </w:p>
    <w:p w14:paraId="0C82E4B3"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Large Cap </w:t>
      </w:r>
    </w:p>
    <w:p w14:paraId="148C6931"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Mid Cap </w:t>
      </w:r>
    </w:p>
    <w:p w14:paraId="69AC3F2F"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Small Cap </w:t>
      </w:r>
    </w:p>
    <w:p w14:paraId="1000EBBB"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Flexi Cap </w:t>
      </w:r>
    </w:p>
    <w:p w14:paraId="0E602FDE"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Hybrid </w:t>
      </w:r>
    </w:p>
    <w:p w14:paraId="1B18FD57"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Liquid </w:t>
      </w:r>
    </w:p>
    <w:p w14:paraId="28BBB418"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Gilt </w:t>
      </w:r>
    </w:p>
    <w:p w14:paraId="43F8CD1E" w14:textId="77777777" w:rsidR="008B7256" w:rsidRPr="008B7256" w:rsidRDefault="008B7256" w:rsidP="004B08B1">
      <w:pPr>
        <w:numPr>
          <w:ilvl w:val="0"/>
          <w:numId w:val="6"/>
        </w:numPr>
        <w:rPr>
          <w:rFonts w:ascii="Times New Roman" w:hAnsi="Times New Roman" w:cs="Times New Roman"/>
        </w:rPr>
      </w:pPr>
      <w:r w:rsidRPr="008B7256">
        <w:rPr>
          <w:rFonts w:ascii="Times New Roman" w:hAnsi="Times New Roman" w:cs="Times New Roman"/>
        </w:rPr>
        <w:t xml:space="preserve">Sectoral/Thematic Funds </w:t>
      </w:r>
    </w:p>
    <w:p w14:paraId="3AE1CDEB"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Equity-oriented funds formed the largest proportion of schemes within the dataset.</w:t>
      </w:r>
    </w:p>
    <w:p w14:paraId="03A577EE" w14:textId="77777777" w:rsidR="008B7256" w:rsidRPr="00133771" w:rsidRDefault="008B7256" w:rsidP="004B08B1">
      <w:pPr>
        <w:rPr>
          <w:rFonts w:ascii="Times New Roman" w:hAnsi="Times New Roman" w:cs="Times New Roman"/>
          <w:b/>
          <w:bCs/>
          <w:sz w:val="28"/>
          <w:szCs w:val="28"/>
        </w:rPr>
      </w:pPr>
      <w:r w:rsidRPr="00133771">
        <w:rPr>
          <w:rFonts w:ascii="Times New Roman" w:hAnsi="Times New Roman" w:cs="Times New Roman"/>
          <w:b/>
          <w:bCs/>
          <w:sz w:val="28"/>
          <w:szCs w:val="28"/>
        </w:rPr>
        <w:t>Assets Under Management (AUM) Analysis</w:t>
      </w:r>
    </w:p>
    <w:p w14:paraId="7DF6AAD7"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Analysis of AUM revealed significant concentration among leading fund houses.</w:t>
      </w:r>
    </w:p>
    <w:p w14:paraId="7B0501F2"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Key observations:</w:t>
      </w:r>
    </w:p>
    <w:p w14:paraId="0A28AD42" w14:textId="77777777" w:rsidR="008B7256" w:rsidRPr="008B7256" w:rsidRDefault="008B7256" w:rsidP="004B08B1">
      <w:pPr>
        <w:numPr>
          <w:ilvl w:val="0"/>
          <w:numId w:val="7"/>
        </w:numPr>
        <w:rPr>
          <w:rFonts w:ascii="Times New Roman" w:hAnsi="Times New Roman" w:cs="Times New Roman"/>
        </w:rPr>
      </w:pPr>
      <w:r w:rsidRPr="008B7256">
        <w:rPr>
          <w:rFonts w:ascii="Times New Roman" w:hAnsi="Times New Roman" w:cs="Times New Roman"/>
        </w:rPr>
        <w:t xml:space="preserve">Large fund houses manage a substantial share of industry assets. </w:t>
      </w:r>
    </w:p>
    <w:p w14:paraId="558B78B2" w14:textId="77777777" w:rsidR="008B7256" w:rsidRPr="008B7256" w:rsidRDefault="008B7256" w:rsidP="004B08B1">
      <w:pPr>
        <w:numPr>
          <w:ilvl w:val="0"/>
          <w:numId w:val="7"/>
        </w:numPr>
        <w:rPr>
          <w:rFonts w:ascii="Times New Roman" w:hAnsi="Times New Roman" w:cs="Times New Roman"/>
        </w:rPr>
      </w:pPr>
      <w:r w:rsidRPr="008B7256">
        <w:rPr>
          <w:rFonts w:ascii="Times New Roman" w:hAnsi="Times New Roman" w:cs="Times New Roman"/>
        </w:rPr>
        <w:t xml:space="preserve">AUM growth trends indicate increasing investor participation. </w:t>
      </w:r>
    </w:p>
    <w:p w14:paraId="62A21596" w14:textId="77777777" w:rsidR="008B7256" w:rsidRPr="008B7256" w:rsidRDefault="008B7256" w:rsidP="004B08B1">
      <w:pPr>
        <w:numPr>
          <w:ilvl w:val="0"/>
          <w:numId w:val="7"/>
        </w:numPr>
        <w:rPr>
          <w:rFonts w:ascii="Times New Roman" w:hAnsi="Times New Roman" w:cs="Times New Roman"/>
        </w:rPr>
      </w:pPr>
      <w:r w:rsidRPr="008B7256">
        <w:rPr>
          <w:rFonts w:ascii="Times New Roman" w:hAnsi="Times New Roman" w:cs="Times New Roman"/>
        </w:rPr>
        <w:t xml:space="preserve">Equity-oriented schemes contribute significantly to overall AUM. </w:t>
      </w:r>
    </w:p>
    <w:p w14:paraId="7F22FBEC" w14:textId="77777777" w:rsidR="008B7256" w:rsidRPr="008B7256" w:rsidRDefault="008B7256" w:rsidP="004B08B1">
      <w:pPr>
        <w:rPr>
          <w:rFonts w:ascii="Times New Roman" w:hAnsi="Times New Roman" w:cs="Times New Roman"/>
          <w:b/>
          <w:bCs/>
          <w:sz w:val="28"/>
          <w:szCs w:val="28"/>
        </w:rPr>
      </w:pPr>
      <w:r w:rsidRPr="008B7256">
        <w:rPr>
          <w:rFonts w:ascii="Times New Roman" w:hAnsi="Times New Roman" w:cs="Times New Roman"/>
          <w:b/>
          <w:bCs/>
          <w:sz w:val="28"/>
          <w:szCs w:val="28"/>
        </w:rPr>
        <w:t>NAV Trend Analysis</w:t>
      </w:r>
    </w:p>
    <w:p w14:paraId="7C27842B" w14:textId="63D0FF4F" w:rsidR="008B7256" w:rsidRPr="008B7256" w:rsidRDefault="008B7256" w:rsidP="004B08B1">
      <w:pPr>
        <w:rPr>
          <w:rFonts w:ascii="Times New Roman" w:hAnsi="Times New Roman" w:cs="Times New Roman"/>
        </w:rPr>
      </w:pPr>
      <w:r w:rsidRPr="008B7256">
        <w:rPr>
          <w:rFonts w:ascii="Times New Roman" w:hAnsi="Times New Roman" w:cs="Times New Roman"/>
        </w:rPr>
        <w:t>Historical Net Asset Value (NAV) data was analy</w:t>
      </w:r>
      <w:r>
        <w:rPr>
          <w:rFonts w:ascii="Times New Roman" w:hAnsi="Times New Roman" w:cs="Times New Roman"/>
        </w:rPr>
        <w:t>s</w:t>
      </w:r>
      <w:r w:rsidRPr="008B7256">
        <w:rPr>
          <w:rFonts w:ascii="Times New Roman" w:hAnsi="Times New Roman" w:cs="Times New Roman"/>
        </w:rPr>
        <w:t>ed to understand fund growth patterns over time.</w:t>
      </w:r>
    </w:p>
    <w:p w14:paraId="13065425"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Key observations:</w:t>
      </w:r>
    </w:p>
    <w:p w14:paraId="74D6BFEB" w14:textId="77777777" w:rsidR="008B7256" w:rsidRPr="008B7256" w:rsidRDefault="008B7256" w:rsidP="004B08B1">
      <w:pPr>
        <w:numPr>
          <w:ilvl w:val="0"/>
          <w:numId w:val="8"/>
        </w:numPr>
        <w:rPr>
          <w:rFonts w:ascii="Times New Roman" w:hAnsi="Times New Roman" w:cs="Times New Roman"/>
        </w:rPr>
      </w:pPr>
      <w:r w:rsidRPr="008B7256">
        <w:rPr>
          <w:rFonts w:ascii="Times New Roman" w:hAnsi="Times New Roman" w:cs="Times New Roman"/>
        </w:rPr>
        <w:t xml:space="preserve">Most equity funds exhibited long-term upward trends. </w:t>
      </w:r>
    </w:p>
    <w:p w14:paraId="6D8D8837" w14:textId="77777777" w:rsidR="008B7256" w:rsidRPr="008B7256" w:rsidRDefault="008B7256" w:rsidP="004B08B1">
      <w:pPr>
        <w:numPr>
          <w:ilvl w:val="0"/>
          <w:numId w:val="8"/>
        </w:numPr>
        <w:rPr>
          <w:rFonts w:ascii="Times New Roman" w:hAnsi="Times New Roman" w:cs="Times New Roman"/>
        </w:rPr>
      </w:pPr>
      <w:r w:rsidRPr="008B7256">
        <w:rPr>
          <w:rFonts w:ascii="Times New Roman" w:hAnsi="Times New Roman" w:cs="Times New Roman"/>
        </w:rPr>
        <w:t xml:space="preserve">Market volatility resulted in short-term fluctuations. </w:t>
      </w:r>
    </w:p>
    <w:p w14:paraId="69AF8AE8" w14:textId="77777777" w:rsidR="008B7256" w:rsidRPr="008B7256" w:rsidRDefault="008B7256" w:rsidP="004B08B1">
      <w:pPr>
        <w:numPr>
          <w:ilvl w:val="0"/>
          <w:numId w:val="8"/>
        </w:numPr>
        <w:rPr>
          <w:rFonts w:ascii="Times New Roman" w:hAnsi="Times New Roman" w:cs="Times New Roman"/>
        </w:rPr>
      </w:pPr>
      <w:r w:rsidRPr="008B7256">
        <w:rPr>
          <w:rFonts w:ascii="Times New Roman" w:hAnsi="Times New Roman" w:cs="Times New Roman"/>
        </w:rPr>
        <w:lastRenderedPageBreak/>
        <w:t xml:space="preserve">Large-cap funds demonstrated relatively stable NAV movement compared to small-cap funds. </w:t>
      </w:r>
    </w:p>
    <w:p w14:paraId="0E70D9E6" w14:textId="77777777" w:rsidR="008B7256" w:rsidRPr="008B7256" w:rsidRDefault="008B7256" w:rsidP="004B08B1">
      <w:pPr>
        <w:rPr>
          <w:rFonts w:ascii="Times New Roman" w:hAnsi="Times New Roman" w:cs="Times New Roman"/>
          <w:b/>
          <w:bCs/>
          <w:sz w:val="28"/>
          <w:szCs w:val="28"/>
        </w:rPr>
      </w:pPr>
      <w:r w:rsidRPr="008B7256">
        <w:rPr>
          <w:rFonts w:ascii="Times New Roman" w:hAnsi="Times New Roman" w:cs="Times New Roman"/>
          <w:b/>
          <w:bCs/>
          <w:sz w:val="28"/>
          <w:szCs w:val="28"/>
        </w:rPr>
        <w:t>Investor Demographics Analysis</w:t>
      </w:r>
    </w:p>
    <w:p w14:paraId="1A640A73" w14:textId="21CD8A51" w:rsidR="008B7256" w:rsidRPr="008B7256" w:rsidRDefault="008B7256" w:rsidP="004B08B1">
      <w:pPr>
        <w:rPr>
          <w:rFonts w:ascii="Times New Roman" w:hAnsi="Times New Roman" w:cs="Times New Roman"/>
        </w:rPr>
      </w:pPr>
      <w:r w:rsidRPr="008B7256">
        <w:rPr>
          <w:rFonts w:ascii="Times New Roman" w:hAnsi="Times New Roman" w:cs="Times New Roman"/>
        </w:rPr>
        <w:t>Investor transaction data was analy</w:t>
      </w:r>
      <w:r>
        <w:rPr>
          <w:rFonts w:ascii="Times New Roman" w:hAnsi="Times New Roman" w:cs="Times New Roman"/>
        </w:rPr>
        <w:t>s</w:t>
      </w:r>
      <w:r w:rsidRPr="008B7256">
        <w:rPr>
          <w:rFonts w:ascii="Times New Roman" w:hAnsi="Times New Roman" w:cs="Times New Roman"/>
        </w:rPr>
        <w:t>ed based on:</w:t>
      </w:r>
    </w:p>
    <w:p w14:paraId="0AF1929B" w14:textId="77777777" w:rsidR="008B7256" w:rsidRPr="008B7256" w:rsidRDefault="008B7256" w:rsidP="004B08B1">
      <w:pPr>
        <w:numPr>
          <w:ilvl w:val="0"/>
          <w:numId w:val="9"/>
        </w:numPr>
        <w:rPr>
          <w:rFonts w:ascii="Times New Roman" w:hAnsi="Times New Roman" w:cs="Times New Roman"/>
        </w:rPr>
      </w:pPr>
      <w:r w:rsidRPr="008B7256">
        <w:rPr>
          <w:rFonts w:ascii="Times New Roman" w:hAnsi="Times New Roman" w:cs="Times New Roman"/>
        </w:rPr>
        <w:t xml:space="preserve">Age groups </w:t>
      </w:r>
    </w:p>
    <w:p w14:paraId="7091F9F4" w14:textId="77777777" w:rsidR="008B7256" w:rsidRPr="008B7256" w:rsidRDefault="008B7256" w:rsidP="004B08B1">
      <w:pPr>
        <w:numPr>
          <w:ilvl w:val="0"/>
          <w:numId w:val="9"/>
        </w:numPr>
        <w:rPr>
          <w:rFonts w:ascii="Times New Roman" w:hAnsi="Times New Roman" w:cs="Times New Roman"/>
        </w:rPr>
      </w:pPr>
      <w:r w:rsidRPr="008B7256">
        <w:rPr>
          <w:rFonts w:ascii="Times New Roman" w:hAnsi="Times New Roman" w:cs="Times New Roman"/>
        </w:rPr>
        <w:t xml:space="preserve">Gender </w:t>
      </w:r>
    </w:p>
    <w:p w14:paraId="2B2F07F1" w14:textId="77777777" w:rsidR="008B7256" w:rsidRPr="008B7256" w:rsidRDefault="008B7256" w:rsidP="004B08B1">
      <w:pPr>
        <w:numPr>
          <w:ilvl w:val="0"/>
          <w:numId w:val="9"/>
        </w:numPr>
        <w:rPr>
          <w:rFonts w:ascii="Times New Roman" w:hAnsi="Times New Roman" w:cs="Times New Roman"/>
        </w:rPr>
      </w:pPr>
      <w:r w:rsidRPr="008B7256">
        <w:rPr>
          <w:rFonts w:ascii="Times New Roman" w:hAnsi="Times New Roman" w:cs="Times New Roman"/>
        </w:rPr>
        <w:t xml:space="preserve">Income categories </w:t>
      </w:r>
    </w:p>
    <w:p w14:paraId="46507D98" w14:textId="77777777" w:rsidR="008B7256" w:rsidRPr="008B7256" w:rsidRDefault="008B7256" w:rsidP="004B08B1">
      <w:pPr>
        <w:numPr>
          <w:ilvl w:val="0"/>
          <w:numId w:val="9"/>
        </w:numPr>
        <w:rPr>
          <w:rFonts w:ascii="Times New Roman" w:hAnsi="Times New Roman" w:cs="Times New Roman"/>
        </w:rPr>
      </w:pPr>
      <w:r w:rsidRPr="008B7256">
        <w:rPr>
          <w:rFonts w:ascii="Times New Roman" w:hAnsi="Times New Roman" w:cs="Times New Roman"/>
        </w:rPr>
        <w:t xml:space="preserve">Geographic locations </w:t>
      </w:r>
    </w:p>
    <w:p w14:paraId="18EF1048" w14:textId="65401C7E" w:rsidR="008B7256" w:rsidRPr="008B7256" w:rsidRDefault="008B7256" w:rsidP="004B08B1">
      <w:pPr>
        <w:numPr>
          <w:ilvl w:val="0"/>
          <w:numId w:val="9"/>
        </w:numPr>
        <w:rPr>
          <w:rFonts w:ascii="Times New Roman" w:hAnsi="Times New Roman" w:cs="Times New Roman"/>
        </w:rPr>
      </w:pPr>
      <w:r w:rsidRPr="008B7256">
        <w:rPr>
          <w:rFonts w:ascii="Times New Roman" w:hAnsi="Times New Roman" w:cs="Times New Roman"/>
        </w:rPr>
        <w:t>Investment behavio</w:t>
      </w:r>
      <w:r>
        <w:rPr>
          <w:rFonts w:ascii="Times New Roman" w:hAnsi="Times New Roman" w:cs="Times New Roman"/>
        </w:rPr>
        <w:t>u</w:t>
      </w:r>
      <w:r w:rsidRPr="008B7256">
        <w:rPr>
          <w:rFonts w:ascii="Times New Roman" w:hAnsi="Times New Roman" w:cs="Times New Roman"/>
        </w:rPr>
        <w:t xml:space="preserve">r </w:t>
      </w:r>
    </w:p>
    <w:p w14:paraId="26504864"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Key observations:</w:t>
      </w:r>
    </w:p>
    <w:p w14:paraId="70F5DA93" w14:textId="77777777" w:rsidR="008B7256" w:rsidRPr="008B7256" w:rsidRDefault="008B7256" w:rsidP="004B08B1">
      <w:pPr>
        <w:numPr>
          <w:ilvl w:val="0"/>
          <w:numId w:val="10"/>
        </w:numPr>
        <w:rPr>
          <w:rFonts w:ascii="Times New Roman" w:hAnsi="Times New Roman" w:cs="Times New Roman"/>
        </w:rPr>
      </w:pPr>
      <w:r w:rsidRPr="008B7256">
        <w:rPr>
          <w:rFonts w:ascii="Times New Roman" w:hAnsi="Times New Roman" w:cs="Times New Roman"/>
        </w:rPr>
        <w:t xml:space="preserve">Investors aged 26–45 represented the largest participation group. </w:t>
      </w:r>
    </w:p>
    <w:p w14:paraId="22CF26BA" w14:textId="77777777" w:rsidR="008B7256" w:rsidRPr="008B7256" w:rsidRDefault="008B7256" w:rsidP="004B08B1">
      <w:pPr>
        <w:numPr>
          <w:ilvl w:val="0"/>
          <w:numId w:val="10"/>
        </w:numPr>
        <w:rPr>
          <w:rFonts w:ascii="Times New Roman" w:hAnsi="Times New Roman" w:cs="Times New Roman"/>
        </w:rPr>
      </w:pPr>
      <w:r w:rsidRPr="008B7256">
        <w:rPr>
          <w:rFonts w:ascii="Times New Roman" w:hAnsi="Times New Roman" w:cs="Times New Roman"/>
        </w:rPr>
        <w:t xml:space="preserve">Higher-income investors contributed larger investment amounts. </w:t>
      </w:r>
    </w:p>
    <w:p w14:paraId="000D61A6" w14:textId="77777777" w:rsidR="008B7256" w:rsidRPr="008B7256" w:rsidRDefault="008B7256" w:rsidP="004B08B1">
      <w:pPr>
        <w:numPr>
          <w:ilvl w:val="0"/>
          <w:numId w:val="10"/>
        </w:numPr>
        <w:rPr>
          <w:rFonts w:ascii="Times New Roman" w:hAnsi="Times New Roman" w:cs="Times New Roman"/>
        </w:rPr>
      </w:pPr>
      <w:r w:rsidRPr="008B7256">
        <w:rPr>
          <w:rFonts w:ascii="Times New Roman" w:hAnsi="Times New Roman" w:cs="Times New Roman"/>
        </w:rPr>
        <w:t xml:space="preserve">Metropolitan cities showed stronger investment activity. </w:t>
      </w:r>
    </w:p>
    <w:p w14:paraId="1C67DA00" w14:textId="77777777" w:rsidR="008B7256" w:rsidRPr="008B7256" w:rsidRDefault="008B7256" w:rsidP="004B08B1">
      <w:pPr>
        <w:rPr>
          <w:rFonts w:ascii="Times New Roman" w:hAnsi="Times New Roman" w:cs="Times New Roman"/>
          <w:b/>
          <w:bCs/>
          <w:sz w:val="28"/>
          <w:szCs w:val="28"/>
        </w:rPr>
      </w:pPr>
      <w:r w:rsidRPr="008B7256">
        <w:rPr>
          <w:rFonts w:ascii="Times New Roman" w:hAnsi="Times New Roman" w:cs="Times New Roman"/>
          <w:b/>
          <w:bCs/>
          <w:sz w:val="28"/>
          <w:szCs w:val="28"/>
        </w:rPr>
        <w:t>SIP Trend Analysis</w:t>
      </w:r>
    </w:p>
    <w:p w14:paraId="5722EA6C"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Systematic Investment Plan (SIP) inflows were examined across multiple years.</w:t>
      </w:r>
    </w:p>
    <w:p w14:paraId="71881017"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Key observations:</w:t>
      </w:r>
    </w:p>
    <w:p w14:paraId="0BDE40EA" w14:textId="77777777" w:rsidR="008B7256" w:rsidRPr="008B7256" w:rsidRDefault="008B7256" w:rsidP="004B08B1">
      <w:pPr>
        <w:numPr>
          <w:ilvl w:val="0"/>
          <w:numId w:val="11"/>
        </w:numPr>
        <w:rPr>
          <w:rFonts w:ascii="Times New Roman" w:hAnsi="Times New Roman" w:cs="Times New Roman"/>
        </w:rPr>
      </w:pPr>
      <w:r w:rsidRPr="008B7256">
        <w:rPr>
          <w:rFonts w:ascii="Times New Roman" w:hAnsi="Times New Roman" w:cs="Times New Roman"/>
        </w:rPr>
        <w:t xml:space="preserve">SIP inflows increased steadily between 2022 and 2025. </w:t>
      </w:r>
    </w:p>
    <w:p w14:paraId="686CFC8A" w14:textId="77777777" w:rsidR="008B7256" w:rsidRPr="008B7256" w:rsidRDefault="008B7256" w:rsidP="004B08B1">
      <w:pPr>
        <w:numPr>
          <w:ilvl w:val="0"/>
          <w:numId w:val="11"/>
        </w:numPr>
        <w:rPr>
          <w:rFonts w:ascii="Times New Roman" w:hAnsi="Times New Roman" w:cs="Times New Roman"/>
        </w:rPr>
      </w:pPr>
      <w:r w:rsidRPr="008B7256">
        <w:rPr>
          <w:rFonts w:ascii="Times New Roman" w:hAnsi="Times New Roman" w:cs="Times New Roman"/>
        </w:rPr>
        <w:t xml:space="preserve">Investor preference for long-term wealth creation continues to grow. </w:t>
      </w:r>
    </w:p>
    <w:p w14:paraId="3821286E" w14:textId="77777777" w:rsidR="008B7256" w:rsidRPr="008B7256" w:rsidRDefault="008B7256" w:rsidP="004B08B1">
      <w:pPr>
        <w:numPr>
          <w:ilvl w:val="0"/>
          <w:numId w:val="11"/>
        </w:numPr>
        <w:rPr>
          <w:rFonts w:ascii="Times New Roman" w:hAnsi="Times New Roman" w:cs="Times New Roman"/>
        </w:rPr>
      </w:pPr>
      <w:r w:rsidRPr="008B7256">
        <w:rPr>
          <w:rFonts w:ascii="Times New Roman" w:hAnsi="Times New Roman" w:cs="Times New Roman"/>
        </w:rPr>
        <w:t xml:space="preserve">Monthly SIP participation remained strong despite market volatility. </w:t>
      </w:r>
    </w:p>
    <w:p w14:paraId="6B18C5D2"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Portfolio Holdings Analysis</w:t>
      </w:r>
    </w:p>
    <w:p w14:paraId="3069FC88"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Portfolio data was analyzed to identify sector allocation and concentration levels.</w:t>
      </w:r>
    </w:p>
    <w:p w14:paraId="6D09AEF7" w14:textId="77777777" w:rsidR="008B7256" w:rsidRPr="008B7256" w:rsidRDefault="008B7256" w:rsidP="004B08B1">
      <w:pPr>
        <w:rPr>
          <w:rFonts w:ascii="Times New Roman" w:hAnsi="Times New Roman" w:cs="Times New Roman"/>
        </w:rPr>
      </w:pPr>
      <w:r w:rsidRPr="008B7256">
        <w:rPr>
          <w:rFonts w:ascii="Times New Roman" w:hAnsi="Times New Roman" w:cs="Times New Roman"/>
        </w:rPr>
        <w:t>Key observations:</w:t>
      </w:r>
    </w:p>
    <w:p w14:paraId="278A3776" w14:textId="77777777" w:rsidR="008B7256" w:rsidRPr="008B7256" w:rsidRDefault="008B7256" w:rsidP="004B08B1">
      <w:pPr>
        <w:numPr>
          <w:ilvl w:val="0"/>
          <w:numId w:val="12"/>
        </w:numPr>
        <w:rPr>
          <w:rFonts w:ascii="Times New Roman" w:hAnsi="Times New Roman" w:cs="Times New Roman"/>
        </w:rPr>
      </w:pPr>
      <w:r w:rsidRPr="008B7256">
        <w:rPr>
          <w:rFonts w:ascii="Times New Roman" w:hAnsi="Times New Roman" w:cs="Times New Roman"/>
        </w:rPr>
        <w:t xml:space="preserve">Banking and Financial Services represented major portfolio allocations. </w:t>
      </w:r>
    </w:p>
    <w:p w14:paraId="7C7E7BE9" w14:textId="77777777" w:rsidR="008B7256" w:rsidRPr="008B7256" w:rsidRDefault="008B7256" w:rsidP="004B08B1">
      <w:pPr>
        <w:numPr>
          <w:ilvl w:val="0"/>
          <w:numId w:val="12"/>
        </w:numPr>
        <w:rPr>
          <w:rFonts w:ascii="Times New Roman" w:hAnsi="Times New Roman" w:cs="Times New Roman"/>
        </w:rPr>
      </w:pPr>
      <w:r w:rsidRPr="008B7256">
        <w:rPr>
          <w:rFonts w:ascii="Times New Roman" w:hAnsi="Times New Roman" w:cs="Times New Roman"/>
        </w:rPr>
        <w:t xml:space="preserve">Technology and Healthcare sectors maintained strong representation. </w:t>
      </w:r>
    </w:p>
    <w:p w14:paraId="367D5DBC" w14:textId="77777777" w:rsidR="00730F5C" w:rsidRDefault="008B7256" w:rsidP="004B08B1">
      <w:pPr>
        <w:numPr>
          <w:ilvl w:val="0"/>
          <w:numId w:val="12"/>
        </w:numPr>
        <w:rPr>
          <w:rFonts w:ascii="Times New Roman" w:hAnsi="Times New Roman" w:cs="Times New Roman"/>
        </w:rPr>
      </w:pPr>
      <w:r w:rsidRPr="008B7256">
        <w:rPr>
          <w:rFonts w:ascii="Times New Roman" w:hAnsi="Times New Roman" w:cs="Times New Roman"/>
        </w:rPr>
        <w:t xml:space="preserve">Portfolio diversification varied across schemes. </w:t>
      </w:r>
    </w:p>
    <w:p w14:paraId="68077F26" w14:textId="2680BE5F" w:rsidR="00730F5C" w:rsidRDefault="004B08B1" w:rsidP="00730F5C">
      <w:pPr>
        <w:ind w:left="360"/>
        <w:rPr>
          <w:rFonts w:ascii="Times New Roman" w:hAnsi="Times New Roman" w:cs="Times New Roman"/>
          <w:b/>
          <w:bCs/>
          <w:sz w:val="32"/>
          <w:szCs w:val="32"/>
        </w:rPr>
      </w:pPr>
      <w:r w:rsidRPr="00730F5C">
        <w:rPr>
          <w:rFonts w:ascii="Times New Roman" w:hAnsi="Times New Roman" w:cs="Times New Roman"/>
          <w:b/>
          <w:bCs/>
          <w:sz w:val="32"/>
          <w:szCs w:val="32"/>
        </w:rPr>
        <w:t xml:space="preserve">                         </w:t>
      </w:r>
    </w:p>
    <w:p w14:paraId="5076A4A9" w14:textId="77777777" w:rsidR="003C3C69" w:rsidRDefault="003C3C69" w:rsidP="00730F5C">
      <w:pPr>
        <w:ind w:left="360"/>
        <w:rPr>
          <w:rFonts w:ascii="Times New Roman" w:hAnsi="Times New Roman" w:cs="Times New Roman"/>
          <w:b/>
          <w:bCs/>
          <w:sz w:val="32"/>
          <w:szCs w:val="32"/>
        </w:rPr>
      </w:pPr>
    </w:p>
    <w:p w14:paraId="0093B143" w14:textId="77777777" w:rsidR="00730F5C" w:rsidRDefault="00730F5C" w:rsidP="003C3C69">
      <w:pPr>
        <w:rPr>
          <w:rFonts w:ascii="Times New Roman" w:hAnsi="Times New Roman" w:cs="Times New Roman"/>
          <w:b/>
          <w:bCs/>
          <w:sz w:val="32"/>
          <w:szCs w:val="32"/>
        </w:rPr>
      </w:pPr>
    </w:p>
    <w:p w14:paraId="6E5A7E86" w14:textId="3D040AE4" w:rsidR="00730F5C" w:rsidRDefault="00730F5C" w:rsidP="00730F5C">
      <w:pPr>
        <w:ind w:left="360"/>
        <w:rPr>
          <w:rFonts w:ascii="Times New Roman" w:hAnsi="Times New Roman" w:cs="Times New Roman"/>
        </w:rPr>
      </w:pPr>
      <w:r>
        <w:rPr>
          <w:rFonts w:ascii="Times New Roman" w:hAnsi="Times New Roman" w:cs="Times New Roman"/>
          <w:b/>
          <w:bCs/>
          <w:sz w:val="32"/>
          <w:szCs w:val="32"/>
        </w:rPr>
        <w:lastRenderedPageBreak/>
        <w:t xml:space="preserve">                       </w:t>
      </w:r>
      <w:r w:rsidR="004B08B1" w:rsidRPr="00730F5C">
        <w:rPr>
          <w:rFonts w:ascii="Times New Roman" w:hAnsi="Times New Roman" w:cs="Times New Roman"/>
          <w:b/>
          <w:bCs/>
          <w:sz w:val="32"/>
          <w:szCs w:val="32"/>
        </w:rPr>
        <w:t xml:space="preserve"> </w:t>
      </w:r>
      <w:r w:rsidR="00E77AAA" w:rsidRPr="00730F5C">
        <w:rPr>
          <w:rFonts w:ascii="Times New Roman" w:hAnsi="Times New Roman" w:cs="Times New Roman"/>
          <w:b/>
          <w:bCs/>
          <w:sz w:val="32"/>
          <w:szCs w:val="32"/>
        </w:rPr>
        <w:t>Industry Overview Findings</w:t>
      </w:r>
    </w:p>
    <w:p w14:paraId="6E2D9641" w14:textId="74514F42" w:rsidR="00133771" w:rsidRPr="00133771" w:rsidRDefault="00133771" w:rsidP="00730F5C">
      <w:pPr>
        <w:rPr>
          <w:rFonts w:ascii="Times New Roman" w:hAnsi="Times New Roman" w:cs="Times New Roman"/>
        </w:rPr>
      </w:pPr>
      <w:r w:rsidRPr="00133771">
        <w:rPr>
          <w:rFonts w:ascii="Times New Roman" w:hAnsi="Times New Roman" w:cs="Times New Roman"/>
        </w:rPr>
        <w:t>The Industry Overview dashboard was developed to provide a high-level understanding of the Indian mutual fund industry's growth, participation, and asset distribution.</w:t>
      </w:r>
    </w:p>
    <w:p w14:paraId="65EA3F1C" w14:textId="77777777" w:rsidR="00133771" w:rsidRPr="00133771" w:rsidRDefault="00133771" w:rsidP="004B08B1">
      <w:pPr>
        <w:rPr>
          <w:rFonts w:ascii="Times New Roman" w:hAnsi="Times New Roman" w:cs="Times New Roman"/>
          <w:b/>
          <w:bCs/>
          <w:sz w:val="28"/>
          <w:szCs w:val="28"/>
        </w:rPr>
      </w:pPr>
      <w:r w:rsidRPr="00133771">
        <w:rPr>
          <w:rFonts w:ascii="Times New Roman" w:hAnsi="Times New Roman" w:cs="Times New Roman"/>
          <w:b/>
          <w:bCs/>
          <w:sz w:val="28"/>
          <w:szCs w:val="28"/>
        </w:rPr>
        <w:t>Assets Under Management (AUM)</w:t>
      </w:r>
    </w:p>
    <w:p w14:paraId="66840CFB"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The analysis of Assets Under Management (AUM) revealed a strong concentration of assets among the leading fund houses. Major asset management companies such as SBI Mutual Fund, HDFC Mutual Fund, ICICI Prudential Mutual Fund, and Nippon India Mutual Fund collectively manage a significant share of industry assets.</w:t>
      </w:r>
    </w:p>
    <w:p w14:paraId="72F2E407"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Key observations:</w:t>
      </w:r>
    </w:p>
    <w:p w14:paraId="6B22E17E" w14:textId="77777777" w:rsidR="00133771" w:rsidRPr="00133771" w:rsidRDefault="00133771" w:rsidP="004B08B1">
      <w:pPr>
        <w:numPr>
          <w:ilvl w:val="0"/>
          <w:numId w:val="13"/>
        </w:numPr>
        <w:rPr>
          <w:rFonts w:ascii="Times New Roman" w:hAnsi="Times New Roman" w:cs="Times New Roman"/>
        </w:rPr>
      </w:pPr>
      <w:r w:rsidRPr="00133771">
        <w:rPr>
          <w:rFonts w:ascii="Times New Roman" w:hAnsi="Times New Roman" w:cs="Times New Roman"/>
        </w:rPr>
        <w:t xml:space="preserve">Industry AUM demonstrated a steady upward trend between 2022 and 2025. </w:t>
      </w:r>
    </w:p>
    <w:p w14:paraId="34318FD7" w14:textId="77777777" w:rsidR="00133771" w:rsidRPr="00133771" w:rsidRDefault="00133771" w:rsidP="004B08B1">
      <w:pPr>
        <w:numPr>
          <w:ilvl w:val="0"/>
          <w:numId w:val="13"/>
        </w:numPr>
        <w:rPr>
          <w:rFonts w:ascii="Times New Roman" w:hAnsi="Times New Roman" w:cs="Times New Roman"/>
        </w:rPr>
      </w:pPr>
      <w:r w:rsidRPr="00133771">
        <w:rPr>
          <w:rFonts w:ascii="Times New Roman" w:hAnsi="Times New Roman" w:cs="Times New Roman"/>
        </w:rPr>
        <w:t xml:space="preserve">Larger fund houses continue to dominate market share. </w:t>
      </w:r>
    </w:p>
    <w:p w14:paraId="6C6808B0" w14:textId="77777777" w:rsidR="00133771" w:rsidRPr="00133771" w:rsidRDefault="00133771" w:rsidP="004B08B1">
      <w:pPr>
        <w:numPr>
          <w:ilvl w:val="0"/>
          <w:numId w:val="13"/>
        </w:numPr>
        <w:rPr>
          <w:rFonts w:ascii="Times New Roman" w:hAnsi="Times New Roman" w:cs="Times New Roman"/>
        </w:rPr>
      </w:pPr>
      <w:r w:rsidRPr="00133771">
        <w:rPr>
          <w:rFonts w:ascii="Times New Roman" w:hAnsi="Times New Roman" w:cs="Times New Roman"/>
        </w:rPr>
        <w:t xml:space="preserve">Growth in AUM indicates increasing investor confidence in mutual fund investments. </w:t>
      </w:r>
    </w:p>
    <w:p w14:paraId="6E22431E" w14:textId="77777777" w:rsidR="00133771" w:rsidRPr="00133771" w:rsidRDefault="00133771" w:rsidP="004B08B1">
      <w:pPr>
        <w:rPr>
          <w:rFonts w:ascii="Times New Roman" w:hAnsi="Times New Roman" w:cs="Times New Roman"/>
          <w:b/>
          <w:bCs/>
          <w:sz w:val="28"/>
          <w:szCs w:val="28"/>
        </w:rPr>
      </w:pPr>
      <w:r w:rsidRPr="00133771">
        <w:rPr>
          <w:rFonts w:ascii="Times New Roman" w:hAnsi="Times New Roman" w:cs="Times New Roman"/>
          <w:b/>
          <w:bCs/>
          <w:sz w:val="28"/>
          <w:szCs w:val="28"/>
        </w:rPr>
        <w:t>SIP Inflows</w:t>
      </w:r>
    </w:p>
    <w:p w14:paraId="3375C76A"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Systematic Investment Plan (SIP) inflows have shown consistent growth throughout the analysis period.</w:t>
      </w:r>
    </w:p>
    <w:p w14:paraId="48700E8A"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Key observations:</w:t>
      </w:r>
    </w:p>
    <w:p w14:paraId="0DEAA698" w14:textId="77777777" w:rsidR="00133771" w:rsidRPr="00133771" w:rsidRDefault="00133771" w:rsidP="004B08B1">
      <w:pPr>
        <w:numPr>
          <w:ilvl w:val="0"/>
          <w:numId w:val="14"/>
        </w:numPr>
        <w:rPr>
          <w:rFonts w:ascii="Times New Roman" w:hAnsi="Times New Roman" w:cs="Times New Roman"/>
        </w:rPr>
      </w:pPr>
      <w:r w:rsidRPr="00133771">
        <w:rPr>
          <w:rFonts w:ascii="Times New Roman" w:hAnsi="Times New Roman" w:cs="Times New Roman"/>
        </w:rPr>
        <w:t xml:space="preserve">Monthly SIP inflows increased significantly over time. </w:t>
      </w:r>
    </w:p>
    <w:p w14:paraId="7E05BC41" w14:textId="77777777" w:rsidR="00133771" w:rsidRPr="00133771" w:rsidRDefault="00133771" w:rsidP="004B08B1">
      <w:pPr>
        <w:numPr>
          <w:ilvl w:val="0"/>
          <w:numId w:val="14"/>
        </w:numPr>
        <w:rPr>
          <w:rFonts w:ascii="Times New Roman" w:hAnsi="Times New Roman" w:cs="Times New Roman"/>
        </w:rPr>
      </w:pPr>
      <w:r w:rsidRPr="00133771">
        <w:rPr>
          <w:rFonts w:ascii="Times New Roman" w:hAnsi="Times New Roman" w:cs="Times New Roman"/>
        </w:rPr>
        <w:t xml:space="preserve">SIP remains the preferred investment route for retail investors. </w:t>
      </w:r>
    </w:p>
    <w:p w14:paraId="3D13FBCE" w14:textId="77777777" w:rsidR="00133771" w:rsidRPr="00133771" w:rsidRDefault="00133771" w:rsidP="004B08B1">
      <w:pPr>
        <w:numPr>
          <w:ilvl w:val="0"/>
          <w:numId w:val="14"/>
        </w:numPr>
        <w:rPr>
          <w:rFonts w:ascii="Times New Roman" w:hAnsi="Times New Roman" w:cs="Times New Roman"/>
        </w:rPr>
      </w:pPr>
      <w:r w:rsidRPr="00133771">
        <w:rPr>
          <w:rFonts w:ascii="Times New Roman" w:hAnsi="Times New Roman" w:cs="Times New Roman"/>
        </w:rPr>
        <w:t xml:space="preserve">Rising SIP participation reflects growing awareness of disciplined investing. </w:t>
      </w:r>
    </w:p>
    <w:p w14:paraId="42AFE0C8" w14:textId="77777777" w:rsidR="00133771" w:rsidRPr="00133771" w:rsidRDefault="00133771" w:rsidP="004B08B1">
      <w:pPr>
        <w:rPr>
          <w:rFonts w:ascii="Times New Roman" w:hAnsi="Times New Roman" w:cs="Times New Roman"/>
          <w:b/>
          <w:bCs/>
          <w:sz w:val="28"/>
          <w:szCs w:val="28"/>
        </w:rPr>
      </w:pPr>
      <w:r w:rsidRPr="00133771">
        <w:rPr>
          <w:rFonts w:ascii="Times New Roman" w:hAnsi="Times New Roman" w:cs="Times New Roman"/>
          <w:b/>
          <w:bCs/>
          <w:sz w:val="28"/>
          <w:szCs w:val="28"/>
        </w:rPr>
        <w:t>Investor Folios</w:t>
      </w:r>
    </w:p>
    <w:p w14:paraId="704F356A"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The analysis of investor folios highlights increasing participation in mutual fund products.</w:t>
      </w:r>
    </w:p>
    <w:p w14:paraId="29C11EC4"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Key observations:</w:t>
      </w:r>
    </w:p>
    <w:p w14:paraId="70C61766" w14:textId="77777777" w:rsidR="00133771" w:rsidRPr="00133771" w:rsidRDefault="00133771" w:rsidP="004B08B1">
      <w:pPr>
        <w:numPr>
          <w:ilvl w:val="0"/>
          <w:numId w:val="15"/>
        </w:numPr>
        <w:rPr>
          <w:rFonts w:ascii="Times New Roman" w:hAnsi="Times New Roman" w:cs="Times New Roman"/>
        </w:rPr>
      </w:pPr>
      <w:r w:rsidRPr="00133771">
        <w:rPr>
          <w:rFonts w:ascii="Times New Roman" w:hAnsi="Times New Roman" w:cs="Times New Roman"/>
        </w:rPr>
        <w:t xml:space="preserve">Folio counts have expanded steadily across categories. </w:t>
      </w:r>
    </w:p>
    <w:p w14:paraId="7A7C87DB" w14:textId="77777777" w:rsidR="00133771" w:rsidRPr="00133771" w:rsidRDefault="00133771" w:rsidP="004B08B1">
      <w:pPr>
        <w:numPr>
          <w:ilvl w:val="0"/>
          <w:numId w:val="15"/>
        </w:numPr>
        <w:rPr>
          <w:rFonts w:ascii="Times New Roman" w:hAnsi="Times New Roman" w:cs="Times New Roman"/>
        </w:rPr>
      </w:pPr>
      <w:r w:rsidRPr="00133771">
        <w:rPr>
          <w:rFonts w:ascii="Times New Roman" w:hAnsi="Times New Roman" w:cs="Times New Roman"/>
        </w:rPr>
        <w:t xml:space="preserve">Retail investor participation has increased substantially. </w:t>
      </w:r>
    </w:p>
    <w:p w14:paraId="1674DAAA" w14:textId="77777777" w:rsidR="00133771" w:rsidRPr="00133771" w:rsidRDefault="00133771" w:rsidP="004B08B1">
      <w:pPr>
        <w:numPr>
          <w:ilvl w:val="0"/>
          <w:numId w:val="15"/>
        </w:numPr>
        <w:rPr>
          <w:rFonts w:ascii="Times New Roman" w:hAnsi="Times New Roman" w:cs="Times New Roman"/>
        </w:rPr>
      </w:pPr>
      <w:r w:rsidRPr="00133771">
        <w:rPr>
          <w:rFonts w:ascii="Times New Roman" w:hAnsi="Times New Roman" w:cs="Times New Roman"/>
        </w:rPr>
        <w:t xml:space="preserve">Equity-oriented schemes account for a large proportion of folio growth. </w:t>
      </w:r>
    </w:p>
    <w:p w14:paraId="1BF57A36" w14:textId="77777777" w:rsidR="00133771" w:rsidRPr="00133771" w:rsidRDefault="00133771" w:rsidP="004B08B1">
      <w:pPr>
        <w:rPr>
          <w:rFonts w:ascii="Times New Roman" w:hAnsi="Times New Roman" w:cs="Times New Roman"/>
          <w:b/>
          <w:bCs/>
          <w:sz w:val="28"/>
          <w:szCs w:val="28"/>
        </w:rPr>
      </w:pPr>
      <w:r w:rsidRPr="00133771">
        <w:rPr>
          <w:rFonts w:ascii="Times New Roman" w:hAnsi="Times New Roman" w:cs="Times New Roman"/>
          <w:b/>
          <w:bCs/>
          <w:sz w:val="28"/>
          <w:szCs w:val="28"/>
        </w:rPr>
        <w:t>Fund House Analysis</w:t>
      </w:r>
    </w:p>
    <w:p w14:paraId="335E23EA"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The AUM-by-AMC analysis identified the leading fund houses within the industry.</w:t>
      </w:r>
    </w:p>
    <w:p w14:paraId="3D94879F"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Key observations:</w:t>
      </w:r>
    </w:p>
    <w:p w14:paraId="0623C0C6" w14:textId="77777777" w:rsidR="00133771" w:rsidRPr="00133771" w:rsidRDefault="00133771" w:rsidP="004B08B1">
      <w:pPr>
        <w:numPr>
          <w:ilvl w:val="0"/>
          <w:numId w:val="16"/>
        </w:numPr>
        <w:rPr>
          <w:rFonts w:ascii="Times New Roman" w:hAnsi="Times New Roman" w:cs="Times New Roman"/>
        </w:rPr>
      </w:pPr>
      <w:r w:rsidRPr="00133771">
        <w:rPr>
          <w:rFonts w:ascii="Times New Roman" w:hAnsi="Times New Roman" w:cs="Times New Roman"/>
        </w:rPr>
        <w:t xml:space="preserve">SBI Mutual Fund ranked among the largest asset managers. </w:t>
      </w:r>
    </w:p>
    <w:p w14:paraId="24A70F86" w14:textId="77777777" w:rsidR="00133771" w:rsidRPr="00133771" w:rsidRDefault="00133771" w:rsidP="004B08B1">
      <w:pPr>
        <w:numPr>
          <w:ilvl w:val="0"/>
          <w:numId w:val="16"/>
        </w:numPr>
        <w:rPr>
          <w:rFonts w:ascii="Times New Roman" w:hAnsi="Times New Roman" w:cs="Times New Roman"/>
        </w:rPr>
      </w:pPr>
      <w:r w:rsidRPr="00133771">
        <w:rPr>
          <w:rFonts w:ascii="Times New Roman" w:hAnsi="Times New Roman" w:cs="Times New Roman"/>
        </w:rPr>
        <w:lastRenderedPageBreak/>
        <w:t xml:space="preserve">HDFC Mutual Fund and ICICI Prudential Mutual Fund maintained significant market presence. </w:t>
      </w:r>
    </w:p>
    <w:p w14:paraId="380B45DF" w14:textId="77777777" w:rsidR="00133771" w:rsidRPr="00133771" w:rsidRDefault="00133771" w:rsidP="004B08B1">
      <w:pPr>
        <w:numPr>
          <w:ilvl w:val="0"/>
          <w:numId w:val="16"/>
        </w:numPr>
        <w:rPr>
          <w:rFonts w:ascii="Times New Roman" w:hAnsi="Times New Roman" w:cs="Times New Roman"/>
        </w:rPr>
      </w:pPr>
      <w:r w:rsidRPr="00133771">
        <w:rPr>
          <w:rFonts w:ascii="Times New Roman" w:hAnsi="Times New Roman" w:cs="Times New Roman"/>
        </w:rPr>
        <w:t xml:space="preserve">Market leadership remains concentrated among established AMCs. </w:t>
      </w:r>
    </w:p>
    <w:p w14:paraId="23844CB6" w14:textId="77777777" w:rsidR="00133771" w:rsidRPr="00133771" w:rsidRDefault="00133771" w:rsidP="004B08B1">
      <w:pPr>
        <w:rPr>
          <w:rFonts w:ascii="Times New Roman" w:hAnsi="Times New Roman" w:cs="Times New Roman"/>
          <w:b/>
          <w:bCs/>
          <w:sz w:val="28"/>
          <w:szCs w:val="28"/>
        </w:rPr>
      </w:pPr>
      <w:r w:rsidRPr="00133771">
        <w:rPr>
          <w:rFonts w:ascii="Times New Roman" w:hAnsi="Times New Roman" w:cs="Times New Roman"/>
          <w:b/>
          <w:bCs/>
          <w:sz w:val="28"/>
          <w:szCs w:val="28"/>
        </w:rPr>
        <w:t>Industry Growth Trends</w:t>
      </w:r>
    </w:p>
    <w:p w14:paraId="257FADA6" w14:textId="77777777" w:rsidR="00133771" w:rsidRPr="00133771" w:rsidRDefault="00133771" w:rsidP="004B08B1">
      <w:pPr>
        <w:rPr>
          <w:rFonts w:ascii="Times New Roman" w:hAnsi="Times New Roman" w:cs="Times New Roman"/>
        </w:rPr>
      </w:pPr>
      <w:r w:rsidRPr="00133771">
        <w:rPr>
          <w:rFonts w:ascii="Times New Roman" w:hAnsi="Times New Roman" w:cs="Times New Roman"/>
        </w:rPr>
        <w:t>The industry has experienced sustained expansion due to:</w:t>
      </w:r>
    </w:p>
    <w:p w14:paraId="2E357061" w14:textId="77777777" w:rsidR="00133771" w:rsidRPr="00133771" w:rsidRDefault="00133771" w:rsidP="004B08B1">
      <w:pPr>
        <w:numPr>
          <w:ilvl w:val="0"/>
          <w:numId w:val="17"/>
        </w:numPr>
        <w:rPr>
          <w:rFonts w:ascii="Times New Roman" w:hAnsi="Times New Roman" w:cs="Times New Roman"/>
        </w:rPr>
      </w:pPr>
      <w:r w:rsidRPr="00133771">
        <w:rPr>
          <w:rFonts w:ascii="Times New Roman" w:hAnsi="Times New Roman" w:cs="Times New Roman"/>
        </w:rPr>
        <w:t xml:space="preserve">Growing financial awareness. </w:t>
      </w:r>
    </w:p>
    <w:p w14:paraId="5325001F" w14:textId="77777777" w:rsidR="00133771" w:rsidRPr="00133771" w:rsidRDefault="00133771" w:rsidP="004B08B1">
      <w:pPr>
        <w:numPr>
          <w:ilvl w:val="0"/>
          <w:numId w:val="17"/>
        </w:numPr>
        <w:rPr>
          <w:rFonts w:ascii="Times New Roman" w:hAnsi="Times New Roman" w:cs="Times New Roman"/>
        </w:rPr>
      </w:pPr>
      <w:r w:rsidRPr="00133771">
        <w:rPr>
          <w:rFonts w:ascii="Times New Roman" w:hAnsi="Times New Roman" w:cs="Times New Roman"/>
        </w:rPr>
        <w:t xml:space="preserve">Increased adoption of SIP investments. </w:t>
      </w:r>
    </w:p>
    <w:p w14:paraId="4D8278A8" w14:textId="77777777" w:rsidR="00133771" w:rsidRPr="00133771" w:rsidRDefault="00133771" w:rsidP="004B08B1">
      <w:pPr>
        <w:numPr>
          <w:ilvl w:val="0"/>
          <w:numId w:val="17"/>
        </w:numPr>
        <w:rPr>
          <w:rFonts w:ascii="Times New Roman" w:hAnsi="Times New Roman" w:cs="Times New Roman"/>
        </w:rPr>
      </w:pPr>
      <w:r w:rsidRPr="00133771">
        <w:rPr>
          <w:rFonts w:ascii="Times New Roman" w:hAnsi="Times New Roman" w:cs="Times New Roman"/>
        </w:rPr>
        <w:t xml:space="preserve">Expansion of digital investment platforms. </w:t>
      </w:r>
    </w:p>
    <w:p w14:paraId="215BA53E" w14:textId="77777777" w:rsidR="00133771" w:rsidRPr="00133771" w:rsidRDefault="00133771" w:rsidP="004B08B1">
      <w:pPr>
        <w:numPr>
          <w:ilvl w:val="0"/>
          <w:numId w:val="17"/>
        </w:numPr>
        <w:rPr>
          <w:rFonts w:ascii="Times New Roman" w:hAnsi="Times New Roman" w:cs="Times New Roman"/>
        </w:rPr>
      </w:pPr>
      <w:r w:rsidRPr="00133771">
        <w:rPr>
          <w:rFonts w:ascii="Times New Roman" w:hAnsi="Times New Roman" w:cs="Times New Roman"/>
        </w:rPr>
        <w:t xml:space="preserve">Rising participation from younger investors. </w:t>
      </w:r>
    </w:p>
    <w:p w14:paraId="7109AFB2" w14:textId="5CF5ECB1" w:rsidR="004C0C25" w:rsidRDefault="00E77AAA" w:rsidP="004B08B1">
      <w:pPr>
        <w:rPr>
          <w:rFonts w:ascii="Times New Roman" w:hAnsi="Times New Roman" w:cs="Times New Roman"/>
          <w:b/>
          <w:bCs/>
          <w:sz w:val="32"/>
          <w:szCs w:val="32"/>
        </w:rPr>
      </w:pPr>
      <w:r w:rsidRPr="00E77AAA">
        <w:rPr>
          <w:rFonts w:ascii="Times New Roman" w:hAnsi="Times New Roman" w:cs="Times New Roman"/>
          <w:b/>
          <w:bCs/>
          <w:sz w:val="32"/>
          <w:szCs w:val="32"/>
        </w:rPr>
        <w:br/>
      </w:r>
      <w:r w:rsidR="004B08B1">
        <w:rPr>
          <w:rFonts w:ascii="Times New Roman" w:hAnsi="Times New Roman" w:cs="Times New Roman"/>
          <w:b/>
          <w:bCs/>
          <w:sz w:val="32"/>
          <w:szCs w:val="32"/>
        </w:rPr>
        <w:t xml:space="preserve">                          </w:t>
      </w:r>
      <w:r w:rsidRPr="00E77AAA">
        <w:rPr>
          <w:rFonts w:ascii="Times New Roman" w:hAnsi="Times New Roman" w:cs="Times New Roman"/>
          <w:b/>
          <w:bCs/>
          <w:sz w:val="32"/>
          <w:szCs w:val="32"/>
        </w:rPr>
        <w:t>Fund Performance Analysis</w:t>
      </w:r>
    </w:p>
    <w:p w14:paraId="44624269"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Fund performance analysis was conducted to evaluate returns, risk-adjusted performance, downside risk, and portfolio resilience across mutual fund schemes.</w:t>
      </w:r>
    </w:p>
    <w:p w14:paraId="089A89D8"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Daily Return Analysis</w:t>
      </w:r>
    </w:p>
    <w:p w14:paraId="2BA6D2D3"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Daily returns were calculated using historical NAV data to measure periodic fund performance.</w:t>
      </w:r>
    </w:p>
    <w:p w14:paraId="39F2BAB3"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Formula:</w:t>
      </w:r>
    </w:p>
    <w:p w14:paraId="2FF13AE5"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Daily Return = (NAVₜ / NAVₜ₋₁) − 1</w:t>
      </w:r>
    </w:p>
    <w:p w14:paraId="546D432C"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The return distributions indicated varying levels of volatility across fund categories. Equity-oriented funds generally exhibited higher return potential along with higher risk compared to debt and liquid funds.</w:t>
      </w:r>
    </w:p>
    <w:p w14:paraId="7EB6E2F8"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Compound Annual Growth Rate (CAGR)</w:t>
      </w:r>
    </w:p>
    <w:p w14:paraId="492E4B30"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CAGR was calculated to evaluate long-term fund growth performance over different investment horizons.</w:t>
      </w:r>
    </w:p>
    <w:p w14:paraId="10075D76"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Formula:</w:t>
      </w:r>
    </w:p>
    <w:p w14:paraId="0599365C"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CAGR = (NAV End / NAV Start)^(1/n) − 1</w:t>
      </w:r>
    </w:p>
    <w:p w14:paraId="61C72DA1"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312E5AE5" w14:textId="77777777" w:rsidR="004C0C25" w:rsidRPr="004C0C25" w:rsidRDefault="004C0C25" w:rsidP="004B08B1">
      <w:pPr>
        <w:numPr>
          <w:ilvl w:val="0"/>
          <w:numId w:val="18"/>
        </w:numPr>
        <w:rPr>
          <w:rFonts w:ascii="Times New Roman" w:hAnsi="Times New Roman" w:cs="Times New Roman"/>
        </w:rPr>
      </w:pPr>
      <w:r w:rsidRPr="004C0C25">
        <w:rPr>
          <w:rFonts w:ascii="Times New Roman" w:hAnsi="Times New Roman" w:cs="Times New Roman"/>
        </w:rPr>
        <w:t>Small-cap and mid-cap funds generated higher long-term returns.</w:t>
      </w:r>
    </w:p>
    <w:p w14:paraId="5A61E220" w14:textId="77777777" w:rsidR="004C0C25" w:rsidRPr="004C0C25" w:rsidRDefault="004C0C25" w:rsidP="004B08B1">
      <w:pPr>
        <w:numPr>
          <w:ilvl w:val="0"/>
          <w:numId w:val="18"/>
        </w:numPr>
        <w:rPr>
          <w:rFonts w:ascii="Times New Roman" w:hAnsi="Times New Roman" w:cs="Times New Roman"/>
        </w:rPr>
      </w:pPr>
      <w:r w:rsidRPr="004C0C25">
        <w:rPr>
          <w:rFonts w:ascii="Times New Roman" w:hAnsi="Times New Roman" w:cs="Times New Roman"/>
        </w:rPr>
        <w:t>Large-cap funds delivered relatively stable growth.</w:t>
      </w:r>
    </w:p>
    <w:p w14:paraId="782CC4C8" w14:textId="77777777" w:rsidR="004C0C25" w:rsidRPr="004C0C25" w:rsidRDefault="004C0C25" w:rsidP="004B08B1">
      <w:pPr>
        <w:numPr>
          <w:ilvl w:val="0"/>
          <w:numId w:val="18"/>
        </w:numPr>
        <w:rPr>
          <w:rFonts w:ascii="Times New Roman" w:hAnsi="Times New Roman" w:cs="Times New Roman"/>
        </w:rPr>
      </w:pPr>
      <w:r w:rsidRPr="004C0C25">
        <w:rPr>
          <w:rFonts w:ascii="Times New Roman" w:hAnsi="Times New Roman" w:cs="Times New Roman"/>
        </w:rPr>
        <w:t>Debt-oriented schemes exhibited lower but more consistent returns.</w:t>
      </w:r>
    </w:p>
    <w:p w14:paraId="688620B8"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lastRenderedPageBreak/>
        <w:t>Sharpe Ratio Analysis</w:t>
      </w:r>
    </w:p>
    <w:p w14:paraId="7CA21A9E"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The Sharpe Ratio was used to assess risk-adjusted performance by comparing excess returns against volatility.</w:t>
      </w:r>
    </w:p>
    <w:p w14:paraId="71E40F30"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Formula:</w:t>
      </w:r>
    </w:p>
    <w:p w14:paraId="5527A4F0"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Sharpe Ratio = (Rp − Rf) / σ × √252</w:t>
      </w:r>
    </w:p>
    <w:p w14:paraId="6CEF78CE"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Where:</w:t>
      </w:r>
    </w:p>
    <w:p w14:paraId="39FA6D13" w14:textId="77777777" w:rsidR="004C0C25" w:rsidRPr="004C0C25" w:rsidRDefault="004C0C25" w:rsidP="004B08B1">
      <w:pPr>
        <w:numPr>
          <w:ilvl w:val="0"/>
          <w:numId w:val="19"/>
        </w:numPr>
        <w:rPr>
          <w:rFonts w:ascii="Times New Roman" w:hAnsi="Times New Roman" w:cs="Times New Roman"/>
        </w:rPr>
      </w:pPr>
      <w:r w:rsidRPr="004C0C25">
        <w:rPr>
          <w:rFonts w:ascii="Times New Roman" w:hAnsi="Times New Roman" w:cs="Times New Roman"/>
        </w:rPr>
        <w:t>Rp = Portfolio Return</w:t>
      </w:r>
    </w:p>
    <w:p w14:paraId="57373DA7" w14:textId="77777777" w:rsidR="004C0C25" w:rsidRPr="004C0C25" w:rsidRDefault="004C0C25" w:rsidP="004B08B1">
      <w:pPr>
        <w:numPr>
          <w:ilvl w:val="0"/>
          <w:numId w:val="19"/>
        </w:numPr>
        <w:rPr>
          <w:rFonts w:ascii="Times New Roman" w:hAnsi="Times New Roman" w:cs="Times New Roman"/>
        </w:rPr>
      </w:pPr>
      <w:r w:rsidRPr="004C0C25">
        <w:rPr>
          <w:rFonts w:ascii="Times New Roman" w:hAnsi="Times New Roman" w:cs="Times New Roman"/>
        </w:rPr>
        <w:t>Rf = Risk-Free Rate</w:t>
      </w:r>
    </w:p>
    <w:p w14:paraId="7D452201" w14:textId="77777777" w:rsidR="004C0C25" w:rsidRPr="004C0C25" w:rsidRDefault="004C0C25" w:rsidP="004B08B1">
      <w:pPr>
        <w:numPr>
          <w:ilvl w:val="0"/>
          <w:numId w:val="19"/>
        </w:numPr>
        <w:rPr>
          <w:rFonts w:ascii="Times New Roman" w:hAnsi="Times New Roman" w:cs="Times New Roman"/>
        </w:rPr>
      </w:pPr>
      <w:r w:rsidRPr="004C0C25">
        <w:rPr>
          <w:rFonts w:ascii="Times New Roman" w:hAnsi="Times New Roman" w:cs="Times New Roman"/>
        </w:rPr>
        <w:t>σ = Standard Deviation of Returns</w:t>
      </w:r>
    </w:p>
    <w:p w14:paraId="6036879B"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26FD4045" w14:textId="77777777" w:rsidR="004C0C25" w:rsidRPr="004C0C25" w:rsidRDefault="004C0C25" w:rsidP="004B08B1">
      <w:pPr>
        <w:numPr>
          <w:ilvl w:val="0"/>
          <w:numId w:val="20"/>
        </w:numPr>
        <w:rPr>
          <w:rFonts w:ascii="Times New Roman" w:hAnsi="Times New Roman" w:cs="Times New Roman"/>
        </w:rPr>
      </w:pPr>
      <w:r w:rsidRPr="004C0C25">
        <w:rPr>
          <w:rFonts w:ascii="Times New Roman" w:hAnsi="Times New Roman" w:cs="Times New Roman"/>
        </w:rPr>
        <w:t>Funds with higher Sharpe Ratios delivered superior risk-adjusted returns.</w:t>
      </w:r>
    </w:p>
    <w:p w14:paraId="5C974D50" w14:textId="77777777" w:rsidR="004C0C25" w:rsidRPr="004C0C25" w:rsidRDefault="004C0C25" w:rsidP="004B08B1">
      <w:pPr>
        <w:numPr>
          <w:ilvl w:val="0"/>
          <w:numId w:val="20"/>
        </w:numPr>
        <w:rPr>
          <w:rFonts w:ascii="Times New Roman" w:hAnsi="Times New Roman" w:cs="Times New Roman"/>
        </w:rPr>
      </w:pPr>
      <w:r w:rsidRPr="004C0C25">
        <w:rPr>
          <w:rFonts w:ascii="Times New Roman" w:hAnsi="Times New Roman" w:cs="Times New Roman"/>
        </w:rPr>
        <w:t>Several large-cap and flexi-cap funds demonstrated strong performance consistency.</w:t>
      </w:r>
    </w:p>
    <w:p w14:paraId="337DE362" w14:textId="77777777" w:rsidR="004C0C25" w:rsidRPr="004C0C25" w:rsidRDefault="004C0C25" w:rsidP="004B08B1">
      <w:pPr>
        <w:numPr>
          <w:ilvl w:val="0"/>
          <w:numId w:val="20"/>
        </w:numPr>
        <w:rPr>
          <w:rFonts w:ascii="Times New Roman" w:hAnsi="Times New Roman" w:cs="Times New Roman"/>
        </w:rPr>
      </w:pPr>
      <w:r w:rsidRPr="004C0C25">
        <w:rPr>
          <w:rFonts w:ascii="Times New Roman" w:hAnsi="Times New Roman" w:cs="Times New Roman"/>
        </w:rPr>
        <w:t>High-return funds did not always provide the best risk-adjusted outcomes.</w:t>
      </w:r>
    </w:p>
    <w:p w14:paraId="7F8900F6"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Sortino Ratio Analysis</w:t>
      </w:r>
    </w:p>
    <w:p w14:paraId="45F6DFD1"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The Sortino Ratio focuses only on downside risk and penalizes negative volatility.</w:t>
      </w:r>
    </w:p>
    <w:p w14:paraId="2AF537E8"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1C6E971A" w14:textId="77777777" w:rsidR="004C0C25" w:rsidRPr="004C0C25" w:rsidRDefault="004C0C25" w:rsidP="004B08B1">
      <w:pPr>
        <w:numPr>
          <w:ilvl w:val="0"/>
          <w:numId w:val="21"/>
        </w:numPr>
        <w:rPr>
          <w:rFonts w:ascii="Times New Roman" w:hAnsi="Times New Roman" w:cs="Times New Roman"/>
        </w:rPr>
      </w:pPr>
      <w:r w:rsidRPr="004C0C25">
        <w:rPr>
          <w:rFonts w:ascii="Times New Roman" w:hAnsi="Times New Roman" w:cs="Times New Roman"/>
        </w:rPr>
        <w:t>Funds with strong downside protection achieved higher Sortino Ratios.</w:t>
      </w:r>
    </w:p>
    <w:p w14:paraId="59A76F6D" w14:textId="77777777" w:rsidR="004C0C25" w:rsidRPr="004C0C25" w:rsidRDefault="004C0C25" w:rsidP="004B08B1">
      <w:pPr>
        <w:numPr>
          <w:ilvl w:val="0"/>
          <w:numId w:val="21"/>
        </w:numPr>
        <w:rPr>
          <w:rFonts w:ascii="Times New Roman" w:hAnsi="Times New Roman" w:cs="Times New Roman"/>
        </w:rPr>
      </w:pPr>
      <w:r w:rsidRPr="004C0C25">
        <w:rPr>
          <w:rFonts w:ascii="Times New Roman" w:hAnsi="Times New Roman" w:cs="Times New Roman"/>
        </w:rPr>
        <w:t>Risk-managed portfolios demonstrated better downside-adjusted performance.</w:t>
      </w:r>
    </w:p>
    <w:p w14:paraId="076A7E2B"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Alpha and Beta Analysis</w:t>
      </w:r>
    </w:p>
    <w:p w14:paraId="1B76FBBC"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Alpha and Beta were calculated using benchmark comparison techniques.</w:t>
      </w:r>
    </w:p>
    <w:p w14:paraId="3EA4130B"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Alpha measures excess returns relative to the benchmark, while Beta measures market sensitivity.</w:t>
      </w:r>
    </w:p>
    <w:p w14:paraId="377B6C3B"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14F3E81B" w14:textId="77777777" w:rsidR="004C0C25" w:rsidRPr="004C0C25" w:rsidRDefault="004C0C25" w:rsidP="004B08B1">
      <w:pPr>
        <w:numPr>
          <w:ilvl w:val="0"/>
          <w:numId w:val="22"/>
        </w:numPr>
        <w:rPr>
          <w:rFonts w:ascii="Times New Roman" w:hAnsi="Times New Roman" w:cs="Times New Roman"/>
        </w:rPr>
      </w:pPr>
      <w:r w:rsidRPr="004C0C25">
        <w:rPr>
          <w:rFonts w:ascii="Times New Roman" w:hAnsi="Times New Roman" w:cs="Times New Roman"/>
        </w:rPr>
        <w:t>Positive Alpha funds outperformed benchmark expectations.</w:t>
      </w:r>
    </w:p>
    <w:p w14:paraId="6C1C1106" w14:textId="77777777" w:rsidR="004C0C25" w:rsidRPr="004C0C25" w:rsidRDefault="004C0C25" w:rsidP="004B08B1">
      <w:pPr>
        <w:numPr>
          <w:ilvl w:val="0"/>
          <w:numId w:val="22"/>
        </w:numPr>
        <w:rPr>
          <w:rFonts w:ascii="Times New Roman" w:hAnsi="Times New Roman" w:cs="Times New Roman"/>
        </w:rPr>
      </w:pPr>
      <w:r w:rsidRPr="004C0C25">
        <w:rPr>
          <w:rFonts w:ascii="Times New Roman" w:hAnsi="Times New Roman" w:cs="Times New Roman"/>
        </w:rPr>
        <w:t>Higher Beta funds exhibited greater sensitivity to market movements.</w:t>
      </w:r>
    </w:p>
    <w:p w14:paraId="0BC5FC62" w14:textId="77777777" w:rsidR="004C0C25" w:rsidRPr="004C0C25" w:rsidRDefault="004C0C25" w:rsidP="004B08B1">
      <w:pPr>
        <w:numPr>
          <w:ilvl w:val="0"/>
          <w:numId w:val="22"/>
        </w:numPr>
        <w:rPr>
          <w:rFonts w:ascii="Times New Roman" w:hAnsi="Times New Roman" w:cs="Times New Roman"/>
        </w:rPr>
      </w:pPr>
      <w:r w:rsidRPr="004C0C25">
        <w:rPr>
          <w:rFonts w:ascii="Times New Roman" w:hAnsi="Times New Roman" w:cs="Times New Roman"/>
        </w:rPr>
        <w:t>Several diversified equity funds achieved attractive Alpha values while maintaining moderate Beta levels.</w:t>
      </w:r>
    </w:p>
    <w:p w14:paraId="456FEFFA"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Maximum Drawdown Analysis</w:t>
      </w:r>
    </w:p>
    <w:p w14:paraId="72562262"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Maximum Drawdown was used to measure the largest historical decline from peak NAV levels.</w:t>
      </w:r>
    </w:p>
    <w:p w14:paraId="6D71FE43"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lastRenderedPageBreak/>
        <w:t>Key observations:</w:t>
      </w:r>
    </w:p>
    <w:p w14:paraId="49344980" w14:textId="77777777" w:rsidR="004C0C25" w:rsidRPr="004C0C25" w:rsidRDefault="004C0C25" w:rsidP="004B08B1">
      <w:pPr>
        <w:numPr>
          <w:ilvl w:val="0"/>
          <w:numId w:val="23"/>
        </w:numPr>
        <w:rPr>
          <w:rFonts w:ascii="Times New Roman" w:hAnsi="Times New Roman" w:cs="Times New Roman"/>
        </w:rPr>
      </w:pPr>
      <w:r w:rsidRPr="004C0C25">
        <w:rPr>
          <w:rFonts w:ascii="Times New Roman" w:hAnsi="Times New Roman" w:cs="Times New Roman"/>
        </w:rPr>
        <w:t>Equity-oriented funds experienced deeper drawdowns during market corrections.</w:t>
      </w:r>
    </w:p>
    <w:p w14:paraId="75F48266" w14:textId="77777777" w:rsidR="004C0C25" w:rsidRPr="004C0C25" w:rsidRDefault="004C0C25" w:rsidP="004B08B1">
      <w:pPr>
        <w:numPr>
          <w:ilvl w:val="0"/>
          <w:numId w:val="23"/>
        </w:numPr>
        <w:rPr>
          <w:rFonts w:ascii="Times New Roman" w:hAnsi="Times New Roman" w:cs="Times New Roman"/>
        </w:rPr>
      </w:pPr>
      <w:r w:rsidRPr="004C0C25">
        <w:rPr>
          <w:rFonts w:ascii="Times New Roman" w:hAnsi="Times New Roman" w:cs="Times New Roman"/>
        </w:rPr>
        <w:t>Diversified funds generally showed better resilience.</w:t>
      </w:r>
    </w:p>
    <w:p w14:paraId="403B6729" w14:textId="77777777" w:rsidR="004C0C25" w:rsidRPr="004C0C25" w:rsidRDefault="004C0C25" w:rsidP="004B08B1">
      <w:pPr>
        <w:numPr>
          <w:ilvl w:val="0"/>
          <w:numId w:val="23"/>
        </w:numPr>
        <w:rPr>
          <w:rFonts w:ascii="Times New Roman" w:hAnsi="Times New Roman" w:cs="Times New Roman"/>
        </w:rPr>
      </w:pPr>
      <w:r w:rsidRPr="004C0C25">
        <w:rPr>
          <w:rFonts w:ascii="Times New Roman" w:hAnsi="Times New Roman" w:cs="Times New Roman"/>
        </w:rPr>
        <w:t>Funds with lower drawdowns demonstrated stronger capital preservation characteristics.</w:t>
      </w:r>
    </w:p>
    <w:p w14:paraId="41F15D25"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Fund Scorecard</w:t>
      </w:r>
    </w:p>
    <w:p w14:paraId="638F38B2"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A composite Fund Scorecard was developed using:</w:t>
      </w:r>
    </w:p>
    <w:p w14:paraId="087EDFDB" w14:textId="77777777" w:rsidR="004C0C25" w:rsidRPr="004C0C25" w:rsidRDefault="004C0C25" w:rsidP="004B08B1">
      <w:pPr>
        <w:numPr>
          <w:ilvl w:val="0"/>
          <w:numId w:val="24"/>
        </w:numPr>
        <w:rPr>
          <w:rFonts w:ascii="Times New Roman" w:hAnsi="Times New Roman" w:cs="Times New Roman"/>
        </w:rPr>
      </w:pPr>
      <w:r w:rsidRPr="004C0C25">
        <w:rPr>
          <w:rFonts w:ascii="Times New Roman" w:hAnsi="Times New Roman" w:cs="Times New Roman"/>
        </w:rPr>
        <w:t>30% Return Rank</w:t>
      </w:r>
    </w:p>
    <w:p w14:paraId="065E8A36" w14:textId="77777777" w:rsidR="004C0C25" w:rsidRPr="004C0C25" w:rsidRDefault="004C0C25" w:rsidP="004B08B1">
      <w:pPr>
        <w:numPr>
          <w:ilvl w:val="0"/>
          <w:numId w:val="24"/>
        </w:numPr>
        <w:rPr>
          <w:rFonts w:ascii="Times New Roman" w:hAnsi="Times New Roman" w:cs="Times New Roman"/>
        </w:rPr>
      </w:pPr>
      <w:r w:rsidRPr="004C0C25">
        <w:rPr>
          <w:rFonts w:ascii="Times New Roman" w:hAnsi="Times New Roman" w:cs="Times New Roman"/>
        </w:rPr>
        <w:t>25% Sharpe Ratio Rank</w:t>
      </w:r>
    </w:p>
    <w:p w14:paraId="73E8EF30" w14:textId="77777777" w:rsidR="004C0C25" w:rsidRPr="004C0C25" w:rsidRDefault="004C0C25" w:rsidP="004B08B1">
      <w:pPr>
        <w:numPr>
          <w:ilvl w:val="0"/>
          <w:numId w:val="24"/>
        </w:numPr>
        <w:rPr>
          <w:rFonts w:ascii="Times New Roman" w:hAnsi="Times New Roman" w:cs="Times New Roman"/>
        </w:rPr>
      </w:pPr>
      <w:r w:rsidRPr="004C0C25">
        <w:rPr>
          <w:rFonts w:ascii="Times New Roman" w:hAnsi="Times New Roman" w:cs="Times New Roman"/>
        </w:rPr>
        <w:t>20% Alpha Rank</w:t>
      </w:r>
    </w:p>
    <w:p w14:paraId="4A2CFFC5" w14:textId="77777777" w:rsidR="004C0C25" w:rsidRPr="004C0C25" w:rsidRDefault="004C0C25" w:rsidP="004B08B1">
      <w:pPr>
        <w:numPr>
          <w:ilvl w:val="0"/>
          <w:numId w:val="24"/>
        </w:numPr>
        <w:rPr>
          <w:rFonts w:ascii="Times New Roman" w:hAnsi="Times New Roman" w:cs="Times New Roman"/>
        </w:rPr>
      </w:pPr>
      <w:r w:rsidRPr="004C0C25">
        <w:rPr>
          <w:rFonts w:ascii="Times New Roman" w:hAnsi="Times New Roman" w:cs="Times New Roman"/>
        </w:rPr>
        <w:t>15% Expense Ratio Rank</w:t>
      </w:r>
    </w:p>
    <w:p w14:paraId="3B5D01CE" w14:textId="77777777" w:rsidR="004C0C25" w:rsidRPr="004C0C25" w:rsidRDefault="004C0C25" w:rsidP="004B08B1">
      <w:pPr>
        <w:numPr>
          <w:ilvl w:val="0"/>
          <w:numId w:val="24"/>
        </w:numPr>
        <w:rPr>
          <w:rFonts w:ascii="Times New Roman" w:hAnsi="Times New Roman" w:cs="Times New Roman"/>
        </w:rPr>
      </w:pPr>
      <w:r w:rsidRPr="004C0C25">
        <w:rPr>
          <w:rFonts w:ascii="Times New Roman" w:hAnsi="Times New Roman" w:cs="Times New Roman"/>
        </w:rPr>
        <w:t>10% Maximum Drawdown Rank</w:t>
      </w:r>
    </w:p>
    <w:p w14:paraId="7A1B227C"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The scorecard provides a standardized framework for comparing schemes across multiple performance dimensions.</w:t>
      </w:r>
    </w:p>
    <w:p w14:paraId="70992754" w14:textId="77777777" w:rsidR="00730F5C" w:rsidRDefault="00730F5C" w:rsidP="004B08B1">
      <w:pPr>
        <w:rPr>
          <w:rFonts w:ascii="Times New Roman" w:hAnsi="Times New Roman" w:cs="Times New Roman"/>
          <w:b/>
          <w:bCs/>
          <w:sz w:val="28"/>
          <w:szCs w:val="28"/>
        </w:rPr>
      </w:pPr>
    </w:p>
    <w:p w14:paraId="42679441" w14:textId="1E6700DF" w:rsidR="004C0C25" w:rsidRDefault="004B08B1" w:rsidP="004B08B1">
      <w:pPr>
        <w:rPr>
          <w:rFonts w:ascii="Times New Roman" w:hAnsi="Times New Roman" w:cs="Times New Roman"/>
          <w:b/>
          <w:bCs/>
          <w:sz w:val="32"/>
          <w:szCs w:val="32"/>
        </w:rPr>
      </w:pPr>
      <w:r>
        <w:rPr>
          <w:rFonts w:ascii="Times New Roman" w:hAnsi="Times New Roman" w:cs="Times New Roman"/>
          <w:b/>
          <w:bCs/>
          <w:sz w:val="32"/>
          <w:szCs w:val="32"/>
        </w:rPr>
        <w:t xml:space="preserve">                             </w:t>
      </w:r>
      <w:r w:rsidR="00E77AAA" w:rsidRPr="00E77AAA">
        <w:rPr>
          <w:rFonts w:ascii="Times New Roman" w:hAnsi="Times New Roman" w:cs="Times New Roman"/>
          <w:b/>
          <w:bCs/>
          <w:sz w:val="32"/>
          <w:szCs w:val="32"/>
        </w:rPr>
        <w:t>Investor Analytics Findings</w:t>
      </w:r>
    </w:p>
    <w:p w14:paraId="31B2954B"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Investor Analytics was performed to understand investment behavior, transaction patterns, demographic trends, and SIP participation across the mutual fund ecosystem.</w:t>
      </w:r>
    </w:p>
    <w:p w14:paraId="2B163AA2"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Investor Demographics</w:t>
      </w:r>
    </w:p>
    <w:p w14:paraId="0ED43145"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Investor transaction data was analyzed across different age groups and geographic segments.</w:t>
      </w:r>
    </w:p>
    <w:p w14:paraId="7D72E46D"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3BB22AED" w14:textId="77777777" w:rsidR="004C0C25" w:rsidRPr="004C0C25" w:rsidRDefault="004C0C25" w:rsidP="004B08B1">
      <w:pPr>
        <w:numPr>
          <w:ilvl w:val="0"/>
          <w:numId w:val="25"/>
        </w:numPr>
        <w:rPr>
          <w:rFonts w:ascii="Times New Roman" w:hAnsi="Times New Roman" w:cs="Times New Roman"/>
        </w:rPr>
      </w:pPr>
      <w:r w:rsidRPr="004C0C25">
        <w:rPr>
          <w:rFonts w:ascii="Times New Roman" w:hAnsi="Times New Roman" w:cs="Times New Roman"/>
        </w:rPr>
        <w:t>The 26–45 age group represented the largest segment of active investors.</w:t>
      </w:r>
    </w:p>
    <w:p w14:paraId="3D258D5B" w14:textId="77777777" w:rsidR="004C0C25" w:rsidRPr="004C0C25" w:rsidRDefault="004C0C25" w:rsidP="004B08B1">
      <w:pPr>
        <w:numPr>
          <w:ilvl w:val="0"/>
          <w:numId w:val="25"/>
        </w:numPr>
        <w:rPr>
          <w:rFonts w:ascii="Times New Roman" w:hAnsi="Times New Roman" w:cs="Times New Roman"/>
        </w:rPr>
      </w:pPr>
      <w:r w:rsidRPr="004C0C25">
        <w:rPr>
          <w:rFonts w:ascii="Times New Roman" w:hAnsi="Times New Roman" w:cs="Times New Roman"/>
        </w:rPr>
        <w:t>Younger investors showed increasing participation through SIP investments.</w:t>
      </w:r>
    </w:p>
    <w:p w14:paraId="64ACABEE" w14:textId="77777777" w:rsidR="004C0C25" w:rsidRPr="004C0C25" w:rsidRDefault="004C0C25" w:rsidP="004B08B1">
      <w:pPr>
        <w:numPr>
          <w:ilvl w:val="0"/>
          <w:numId w:val="25"/>
        </w:numPr>
        <w:rPr>
          <w:rFonts w:ascii="Times New Roman" w:hAnsi="Times New Roman" w:cs="Times New Roman"/>
        </w:rPr>
      </w:pPr>
      <w:r w:rsidRPr="004C0C25">
        <w:rPr>
          <w:rFonts w:ascii="Times New Roman" w:hAnsi="Times New Roman" w:cs="Times New Roman"/>
        </w:rPr>
        <w:t>Urban investors contributed a significant share of total transaction volume.</w:t>
      </w:r>
    </w:p>
    <w:p w14:paraId="4F4CBB6D"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Transaction Amount Analysis</w:t>
      </w:r>
    </w:p>
    <w:p w14:paraId="4DBF2900"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Transaction amount analysis was conducted to identify investment activity across states and investor groups.</w:t>
      </w:r>
    </w:p>
    <w:p w14:paraId="3994CE20"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1CB47566" w14:textId="77777777" w:rsidR="004C0C25" w:rsidRPr="004C0C25" w:rsidRDefault="004C0C25" w:rsidP="004B08B1">
      <w:pPr>
        <w:numPr>
          <w:ilvl w:val="0"/>
          <w:numId w:val="26"/>
        </w:numPr>
        <w:rPr>
          <w:rFonts w:ascii="Times New Roman" w:hAnsi="Times New Roman" w:cs="Times New Roman"/>
        </w:rPr>
      </w:pPr>
      <w:r w:rsidRPr="004C0C25">
        <w:rPr>
          <w:rFonts w:ascii="Times New Roman" w:hAnsi="Times New Roman" w:cs="Times New Roman"/>
        </w:rPr>
        <w:t>Certain states demonstrated significantly higher investment participation.</w:t>
      </w:r>
    </w:p>
    <w:p w14:paraId="52088060" w14:textId="77777777" w:rsidR="004C0C25" w:rsidRPr="004C0C25" w:rsidRDefault="004C0C25" w:rsidP="004B08B1">
      <w:pPr>
        <w:numPr>
          <w:ilvl w:val="0"/>
          <w:numId w:val="26"/>
        </w:numPr>
        <w:rPr>
          <w:rFonts w:ascii="Times New Roman" w:hAnsi="Times New Roman" w:cs="Times New Roman"/>
        </w:rPr>
      </w:pPr>
      <w:r w:rsidRPr="004C0C25">
        <w:rPr>
          <w:rFonts w:ascii="Times New Roman" w:hAnsi="Times New Roman" w:cs="Times New Roman"/>
        </w:rPr>
        <w:t>Larger transaction volumes were concentrated in financially developed regions.</w:t>
      </w:r>
    </w:p>
    <w:p w14:paraId="2B31D72A" w14:textId="77777777" w:rsidR="004C0C25" w:rsidRPr="004C0C25" w:rsidRDefault="004C0C25" w:rsidP="004B08B1">
      <w:pPr>
        <w:numPr>
          <w:ilvl w:val="0"/>
          <w:numId w:val="26"/>
        </w:numPr>
        <w:rPr>
          <w:rFonts w:ascii="Times New Roman" w:hAnsi="Times New Roman" w:cs="Times New Roman"/>
        </w:rPr>
      </w:pPr>
      <w:r w:rsidRPr="004C0C25">
        <w:rPr>
          <w:rFonts w:ascii="Times New Roman" w:hAnsi="Times New Roman" w:cs="Times New Roman"/>
        </w:rPr>
        <w:lastRenderedPageBreak/>
        <w:t>Retail participation continued to increase across multiple investor segments.</w:t>
      </w:r>
    </w:p>
    <w:p w14:paraId="32183C80"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Transaction Type Distribution</w:t>
      </w:r>
    </w:p>
    <w:p w14:paraId="66D5D6F6"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Investor transactions were categorized into:</w:t>
      </w:r>
    </w:p>
    <w:p w14:paraId="34A47AC0" w14:textId="77777777" w:rsidR="004C0C25" w:rsidRPr="004C0C25" w:rsidRDefault="004C0C25" w:rsidP="004B08B1">
      <w:pPr>
        <w:numPr>
          <w:ilvl w:val="0"/>
          <w:numId w:val="27"/>
        </w:numPr>
        <w:rPr>
          <w:rFonts w:ascii="Times New Roman" w:hAnsi="Times New Roman" w:cs="Times New Roman"/>
        </w:rPr>
      </w:pPr>
      <w:r w:rsidRPr="004C0C25">
        <w:rPr>
          <w:rFonts w:ascii="Times New Roman" w:hAnsi="Times New Roman" w:cs="Times New Roman"/>
        </w:rPr>
        <w:t>SIP Investments</w:t>
      </w:r>
    </w:p>
    <w:p w14:paraId="2505FA5C" w14:textId="77777777" w:rsidR="004C0C25" w:rsidRPr="004C0C25" w:rsidRDefault="004C0C25" w:rsidP="004B08B1">
      <w:pPr>
        <w:numPr>
          <w:ilvl w:val="0"/>
          <w:numId w:val="27"/>
        </w:numPr>
        <w:rPr>
          <w:rFonts w:ascii="Times New Roman" w:hAnsi="Times New Roman" w:cs="Times New Roman"/>
        </w:rPr>
      </w:pPr>
      <w:r w:rsidRPr="004C0C25">
        <w:rPr>
          <w:rFonts w:ascii="Times New Roman" w:hAnsi="Times New Roman" w:cs="Times New Roman"/>
        </w:rPr>
        <w:t>Lump Sum Investments</w:t>
      </w:r>
    </w:p>
    <w:p w14:paraId="71625065" w14:textId="77777777" w:rsidR="004C0C25" w:rsidRPr="004C0C25" w:rsidRDefault="004C0C25" w:rsidP="004B08B1">
      <w:pPr>
        <w:numPr>
          <w:ilvl w:val="0"/>
          <w:numId w:val="27"/>
        </w:numPr>
        <w:rPr>
          <w:rFonts w:ascii="Times New Roman" w:hAnsi="Times New Roman" w:cs="Times New Roman"/>
        </w:rPr>
      </w:pPr>
      <w:r w:rsidRPr="004C0C25">
        <w:rPr>
          <w:rFonts w:ascii="Times New Roman" w:hAnsi="Times New Roman" w:cs="Times New Roman"/>
        </w:rPr>
        <w:t>Redemptions</w:t>
      </w:r>
    </w:p>
    <w:p w14:paraId="63B31CA3"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695E936C" w14:textId="77777777" w:rsidR="004C0C25" w:rsidRPr="004C0C25" w:rsidRDefault="004C0C25" w:rsidP="004B08B1">
      <w:pPr>
        <w:numPr>
          <w:ilvl w:val="0"/>
          <w:numId w:val="28"/>
        </w:numPr>
        <w:rPr>
          <w:rFonts w:ascii="Times New Roman" w:hAnsi="Times New Roman" w:cs="Times New Roman"/>
        </w:rPr>
      </w:pPr>
      <w:r w:rsidRPr="004C0C25">
        <w:rPr>
          <w:rFonts w:ascii="Times New Roman" w:hAnsi="Times New Roman" w:cs="Times New Roman"/>
        </w:rPr>
        <w:t>SIP transactions accounted for the majority of investment activity.</w:t>
      </w:r>
    </w:p>
    <w:p w14:paraId="6C4A79E3" w14:textId="77777777" w:rsidR="004C0C25" w:rsidRPr="004C0C25" w:rsidRDefault="004C0C25" w:rsidP="004B08B1">
      <w:pPr>
        <w:numPr>
          <w:ilvl w:val="0"/>
          <w:numId w:val="28"/>
        </w:numPr>
        <w:rPr>
          <w:rFonts w:ascii="Times New Roman" w:hAnsi="Times New Roman" w:cs="Times New Roman"/>
        </w:rPr>
      </w:pPr>
      <w:r w:rsidRPr="004C0C25">
        <w:rPr>
          <w:rFonts w:ascii="Times New Roman" w:hAnsi="Times New Roman" w:cs="Times New Roman"/>
        </w:rPr>
        <w:t>Lump sum investments contributed substantial capital inflows.</w:t>
      </w:r>
    </w:p>
    <w:p w14:paraId="0032E9A3" w14:textId="77777777" w:rsidR="004C0C25" w:rsidRPr="004C0C25" w:rsidRDefault="004C0C25" w:rsidP="004B08B1">
      <w:pPr>
        <w:numPr>
          <w:ilvl w:val="0"/>
          <w:numId w:val="28"/>
        </w:numPr>
        <w:rPr>
          <w:rFonts w:ascii="Times New Roman" w:hAnsi="Times New Roman" w:cs="Times New Roman"/>
        </w:rPr>
      </w:pPr>
      <w:r w:rsidRPr="004C0C25">
        <w:rPr>
          <w:rFonts w:ascii="Times New Roman" w:hAnsi="Times New Roman" w:cs="Times New Roman"/>
        </w:rPr>
        <w:t>Redemption activity remained relatively lower than total investments.</w:t>
      </w:r>
    </w:p>
    <w:p w14:paraId="3C39C28B"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Monthly Transaction Trends</w:t>
      </w:r>
    </w:p>
    <w:p w14:paraId="0EE92E69"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Monthly transaction analysis revealed consistent investment activity throughout the study period.</w:t>
      </w:r>
    </w:p>
    <w:p w14:paraId="22A620D4"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5A461EB6" w14:textId="77777777" w:rsidR="004C0C25" w:rsidRPr="004C0C25" w:rsidRDefault="004C0C25" w:rsidP="004B08B1">
      <w:pPr>
        <w:numPr>
          <w:ilvl w:val="0"/>
          <w:numId w:val="29"/>
        </w:numPr>
        <w:rPr>
          <w:rFonts w:ascii="Times New Roman" w:hAnsi="Times New Roman" w:cs="Times New Roman"/>
        </w:rPr>
      </w:pPr>
      <w:r w:rsidRPr="004C0C25">
        <w:rPr>
          <w:rFonts w:ascii="Times New Roman" w:hAnsi="Times New Roman" w:cs="Times New Roman"/>
        </w:rPr>
        <w:t>Investment activity increased steadily over time.</w:t>
      </w:r>
    </w:p>
    <w:p w14:paraId="4F1500B6" w14:textId="77777777" w:rsidR="004C0C25" w:rsidRPr="004C0C25" w:rsidRDefault="004C0C25" w:rsidP="004B08B1">
      <w:pPr>
        <w:numPr>
          <w:ilvl w:val="0"/>
          <w:numId w:val="29"/>
        </w:numPr>
        <w:rPr>
          <w:rFonts w:ascii="Times New Roman" w:hAnsi="Times New Roman" w:cs="Times New Roman"/>
        </w:rPr>
      </w:pPr>
      <w:r w:rsidRPr="004C0C25">
        <w:rPr>
          <w:rFonts w:ascii="Times New Roman" w:hAnsi="Times New Roman" w:cs="Times New Roman"/>
        </w:rPr>
        <w:t>Periodic market corrections influenced short-term transaction patterns.</w:t>
      </w:r>
    </w:p>
    <w:p w14:paraId="73C922BA" w14:textId="77777777" w:rsidR="004C0C25" w:rsidRPr="004C0C25" w:rsidRDefault="004C0C25" w:rsidP="004B08B1">
      <w:pPr>
        <w:numPr>
          <w:ilvl w:val="0"/>
          <w:numId w:val="29"/>
        </w:numPr>
        <w:rPr>
          <w:rFonts w:ascii="Times New Roman" w:hAnsi="Times New Roman" w:cs="Times New Roman"/>
        </w:rPr>
      </w:pPr>
      <w:r w:rsidRPr="004C0C25">
        <w:rPr>
          <w:rFonts w:ascii="Times New Roman" w:hAnsi="Times New Roman" w:cs="Times New Roman"/>
        </w:rPr>
        <w:t>Overall investor participation remained strong despite market fluctuations.</w:t>
      </w:r>
    </w:p>
    <w:p w14:paraId="064626E5"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Investor Cohort Analysis</w:t>
      </w:r>
    </w:p>
    <w:p w14:paraId="4C4ED344"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Investor cohorts were created based on the year of first investment activity.</w:t>
      </w:r>
    </w:p>
    <w:p w14:paraId="070BBAC3"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68088342" w14:textId="77777777" w:rsidR="004C0C25" w:rsidRPr="004C0C25" w:rsidRDefault="004C0C25" w:rsidP="004B08B1">
      <w:pPr>
        <w:numPr>
          <w:ilvl w:val="0"/>
          <w:numId w:val="30"/>
        </w:numPr>
        <w:rPr>
          <w:rFonts w:ascii="Times New Roman" w:hAnsi="Times New Roman" w:cs="Times New Roman"/>
        </w:rPr>
      </w:pPr>
      <w:r w:rsidRPr="004C0C25">
        <w:rPr>
          <w:rFonts w:ascii="Times New Roman" w:hAnsi="Times New Roman" w:cs="Times New Roman"/>
        </w:rPr>
        <w:t>Investors joining in recent years demonstrated higher average SIP contributions.</w:t>
      </w:r>
    </w:p>
    <w:p w14:paraId="29A07290" w14:textId="77777777" w:rsidR="004C0C25" w:rsidRPr="004C0C25" w:rsidRDefault="004C0C25" w:rsidP="004B08B1">
      <w:pPr>
        <w:numPr>
          <w:ilvl w:val="0"/>
          <w:numId w:val="30"/>
        </w:numPr>
        <w:rPr>
          <w:rFonts w:ascii="Times New Roman" w:hAnsi="Times New Roman" w:cs="Times New Roman"/>
        </w:rPr>
      </w:pPr>
      <w:r w:rsidRPr="004C0C25">
        <w:rPr>
          <w:rFonts w:ascii="Times New Roman" w:hAnsi="Times New Roman" w:cs="Times New Roman"/>
        </w:rPr>
        <w:t>Earlier cohorts contributed the largest cumulative investment amounts.</w:t>
      </w:r>
    </w:p>
    <w:p w14:paraId="0B57D442" w14:textId="77777777" w:rsidR="004C0C25" w:rsidRPr="004C0C25" w:rsidRDefault="004C0C25" w:rsidP="004B08B1">
      <w:pPr>
        <w:numPr>
          <w:ilvl w:val="0"/>
          <w:numId w:val="30"/>
        </w:numPr>
        <w:rPr>
          <w:rFonts w:ascii="Times New Roman" w:hAnsi="Times New Roman" w:cs="Times New Roman"/>
        </w:rPr>
      </w:pPr>
      <w:r w:rsidRPr="004C0C25">
        <w:rPr>
          <w:rFonts w:ascii="Times New Roman" w:hAnsi="Times New Roman" w:cs="Times New Roman"/>
        </w:rPr>
        <w:t>Long-term investors maintained greater investment consistency.</w:t>
      </w:r>
    </w:p>
    <w:p w14:paraId="4376A891"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SIP Continuity Analysis</w:t>
      </w:r>
    </w:p>
    <w:p w14:paraId="3A2D8C2E"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SIP continuity analysis was performed to evaluate investor commitment and identify potential attrition risks.</w:t>
      </w:r>
    </w:p>
    <w:p w14:paraId="0067A1D2"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22B7B85A" w14:textId="31454278" w:rsidR="004C0C25" w:rsidRPr="004C0C25" w:rsidRDefault="004C0C25" w:rsidP="004B08B1">
      <w:pPr>
        <w:numPr>
          <w:ilvl w:val="0"/>
          <w:numId w:val="31"/>
        </w:numPr>
        <w:rPr>
          <w:rFonts w:ascii="Times New Roman" w:hAnsi="Times New Roman" w:cs="Times New Roman"/>
        </w:rPr>
      </w:pPr>
      <w:r w:rsidRPr="004C0C25">
        <w:rPr>
          <w:rFonts w:ascii="Times New Roman" w:hAnsi="Times New Roman" w:cs="Times New Roman"/>
        </w:rPr>
        <w:t>Investors with regular monthly contributions demonstrated stronger long-term investment behavio</w:t>
      </w:r>
      <w:r>
        <w:rPr>
          <w:rFonts w:ascii="Times New Roman" w:hAnsi="Times New Roman" w:cs="Times New Roman"/>
        </w:rPr>
        <w:t>u</w:t>
      </w:r>
      <w:r w:rsidRPr="004C0C25">
        <w:rPr>
          <w:rFonts w:ascii="Times New Roman" w:hAnsi="Times New Roman" w:cs="Times New Roman"/>
        </w:rPr>
        <w:t>r.</w:t>
      </w:r>
    </w:p>
    <w:p w14:paraId="7D281DF9" w14:textId="77777777" w:rsidR="004C0C25" w:rsidRPr="004C0C25" w:rsidRDefault="004C0C25" w:rsidP="004B08B1">
      <w:pPr>
        <w:numPr>
          <w:ilvl w:val="0"/>
          <w:numId w:val="31"/>
        </w:numPr>
        <w:rPr>
          <w:rFonts w:ascii="Times New Roman" w:hAnsi="Times New Roman" w:cs="Times New Roman"/>
        </w:rPr>
      </w:pPr>
      <w:r w:rsidRPr="004C0C25">
        <w:rPr>
          <w:rFonts w:ascii="Times New Roman" w:hAnsi="Times New Roman" w:cs="Times New Roman"/>
        </w:rPr>
        <w:lastRenderedPageBreak/>
        <w:t>A significant number of investors were classified as "At Risk" due to average SIP gaps exceeding 35 days.</w:t>
      </w:r>
    </w:p>
    <w:p w14:paraId="4D064C74" w14:textId="445291F5" w:rsidR="004C0C25" w:rsidRPr="00730F5C" w:rsidRDefault="004C0C25" w:rsidP="004B08B1">
      <w:pPr>
        <w:numPr>
          <w:ilvl w:val="0"/>
          <w:numId w:val="31"/>
        </w:numPr>
        <w:rPr>
          <w:rFonts w:ascii="Times New Roman" w:hAnsi="Times New Roman" w:cs="Times New Roman"/>
        </w:rPr>
      </w:pPr>
      <w:r w:rsidRPr="004C0C25">
        <w:rPr>
          <w:rFonts w:ascii="Times New Roman" w:hAnsi="Times New Roman" w:cs="Times New Roman"/>
        </w:rPr>
        <w:t>SIP continuity serves as an important indicator of future investor retention.</w:t>
      </w:r>
      <w:r w:rsidR="00E77AAA" w:rsidRPr="00730F5C">
        <w:rPr>
          <w:rFonts w:ascii="Times New Roman" w:hAnsi="Times New Roman" w:cs="Times New Roman"/>
          <w:b/>
          <w:bCs/>
          <w:sz w:val="32"/>
          <w:szCs w:val="32"/>
        </w:rPr>
        <w:br/>
      </w:r>
      <w:r w:rsidR="00E77AAA" w:rsidRPr="00730F5C">
        <w:rPr>
          <w:rFonts w:ascii="Times New Roman" w:hAnsi="Times New Roman" w:cs="Times New Roman"/>
          <w:b/>
          <w:bCs/>
          <w:sz w:val="32"/>
          <w:szCs w:val="32"/>
        </w:rPr>
        <w:br/>
      </w:r>
      <w:r w:rsidR="004B08B1" w:rsidRPr="00730F5C">
        <w:rPr>
          <w:rFonts w:ascii="Times New Roman" w:hAnsi="Times New Roman" w:cs="Times New Roman"/>
          <w:b/>
          <w:bCs/>
          <w:sz w:val="32"/>
          <w:szCs w:val="32"/>
        </w:rPr>
        <w:t xml:space="preserve">                     </w:t>
      </w:r>
      <w:r w:rsidR="00E77AAA" w:rsidRPr="00730F5C">
        <w:rPr>
          <w:rFonts w:ascii="Times New Roman" w:hAnsi="Times New Roman" w:cs="Times New Roman"/>
          <w:b/>
          <w:bCs/>
          <w:sz w:val="32"/>
          <w:szCs w:val="32"/>
        </w:rPr>
        <w:t>SIP &amp; Market Trends Analysis</w:t>
      </w:r>
    </w:p>
    <w:p w14:paraId="12E02427"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Systematic Investment Plans (SIPs) have emerged as one of the most popular investment vehicles for retail investors. This analysis focuses on SIP inflow trends, category-wise fund flows, and overall market participation patterns.</w:t>
      </w:r>
    </w:p>
    <w:p w14:paraId="3BD7BA8B"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SIP Growth Trends</w:t>
      </w:r>
    </w:p>
    <w:p w14:paraId="5E1C402F"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Monthly SIP inflow data was analyzed to understand the growth trajectory of systematic investments.</w:t>
      </w:r>
    </w:p>
    <w:p w14:paraId="7CD7352B"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671FBA9D" w14:textId="77777777" w:rsidR="004C0C25" w:rsidRPr="004C0C25" w:rsidRDefault="004C0C25" w:rsidP="004B08B1">
      <w:pPr>
        <w:numPr>
          <w:ilvl w:val="0"/>
          <w:numId w:val="32"/>
        </w:numPr>
        <w:rPr>
          <w:rFonts w:ascii="Times New Roman" w:hAnsi="Times New Roman" w:cs="Times New Roman"/>
        </w:rPr>
      </w:pPr>
      <w:r w:rsidRPr="004C0C25">
        <w:rPr>
          <w:rFonts w:ascii="Times New Roman" w:hAnsi="Times New Roman" w:cs="Times New Roman"/>
        </w:rPr>
        <w:t>SIP inflows demonstrated a consistent upward trend from 2022 to 2025.</w:t>
      </w:r>
    </w:p>
    <w:p w14:paraId="47470CF3" w14:textId="77777777" w:rsidR="004C0C25" w:rsidRPr="004C0C25" w:rsidRDefault="004C0C25" w:rsidP="004B08B1">
      <w:pPr>
        <w:numPr>
          <w:ilvl w:val="0"/>
          <w:numId w:val="32"/>
        </w:numPr>
        <w:rPr>
          <w:rFonts w:ascii="Times New Roman" w:hAnsi="Times New Roman" w:cs="Times New Roman"/>
        </w:rPr>
      </w:pPr>
      <w:r w:rsidRPr="004C0C25">
        <w:rPr>
          <w:rFonts w:ascii="Times New Roman" w:hAnsi="Times New Roman" w:cs="Times New Roman"/>
        </w:rPr>
        <w:t>Retail investors increasingly preferred SIPs as a disciplined investment strategy.</w:t>
      </w:r>
    </w:p>
    <w:p w14:paraId="0BC8A00C" w14:textId="77777777" w:rsidR="004C0C25" w:rsidRPr="004C0C25" w:rsidRDefault="004C0C25" w:rsidP="004B08B1">
      <w:pPr>
        <w:numPr>
          <w:ilvl w:val="0"/>
          <w:numId w:val="32"/>
        </w:numPr>
        <w:rPr>
          <w:rFonts w:ascii="Times New Roman" w:hAnsi="Times New Roman" w:cs="Times New Roman"/>
        </w:rPr>
      </w:pPr>
      <w:r w:rsidRPr="004C0C25">
        <w:rPr>
          <w:rFonts w:ascii="Times New Roman" w:hAnsi="Times New Roman" w:cs="Times New Roman"/>
        </w:rPr>
        <w:t>Market volatility had limited impact on long-term SIP participation.</w:t>
      </w:r>
    </w:p>
    <w:p w14:paraId="2AB090B4"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Monthly SIP Inflows</w:t>
      </w:r>
    </w:p>
    <w:p w14:paraId="52AC0089"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The analysis of monthly SIP inflows revealed strong investor confidence in mutual funds.</w:t>
      </w:r>
    </w:p>
    <w:p w14:paraId="2B9D7BFC"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53AA41D2" w14:textId="77777777" w:rsidR="004C0C25" w:rsidRPr="004C0C25" w:rsidRDefault="004C0C25" w:rsidP="004B08B1">
      <w:pPr>
        <w:numPr>
          <w:ilvl w:val="0"/>
          <w:numId w:val="33"/>
        </w:numPr>
        <w:rPr>
          <w:rFonts w:ascii="Times New Roman" w:hAnsi="Times New Roman" w:cs="Times New Roman"/>
        </w:rPr>
      </w:pPr>
      <w:r w:rsidRPr="004C0C25">
        <w:rPr>
          <w:rFonts w:ascii="Times New Roman" w:hAnsi="Times New Roman" w:cs="Times New Roman"/>
        </w:rPr>
        <w:t>SIP contributions continued to rise across the study period.</w:t>
      </w:r>
    </w:p>
    <w:p w14:paraId="45ABF5DF" w14:textId="37185B0D" w:rsidR="004C0C25" w:rsidRPr="004C0C25" w:rsidRDefault="004C0C25" w:rsidP="004B08B1">
      <w:pPr>
        <w:numPr>
          <w:ilvl w:val="0"/>
          <w:numId w:val="33"/>
        </w:numPr>
        <w:rPr>
          <w:rFonts w:ascii="Times New Roman" w:hAnsi="Times New Roman" w:cs="Times New Roman"/>
        </w:rPr>
      </w:pPr>
      <w:r w:rsidRPr="004C0C25">
        <w:rPr>
          <w:rFonts w:ascii="Times New Roman" w:hAnsi="Times New Roman" w:cs="Times New Roman"/>
        </w:rPr>
        <w:t>Higher participation was observed during favo</w:t>
      </w:r>
      <w:r>
        <w:rPr>
          <w:rFonts w:ascii="Times New Roman" w:hAnsi="Times New Roman" w:cs="Times New Roman"/>
        </w:rPr>
        <w:t>u</w:t>
      </w:r>
      <w:r w:rsidRPr="004C0C25">
        <w:rPr>
          <w:rFonts w:ascii="Times New Roman" w:hAnsi="Times New Roman" w:cs="Times New Roman"/>
        </w:rPr>
        <w:t>rable market conditions.</w:t>
      </w:r>
    </w:p>
    <w:p w14:paraId="71044B05" w14:textId="77777777" w:rsidR="004C0C25" w:rsidRPr="004C0C25" w:rsidRDefault="004C0C25" w:rsidP="004B08B1">
      <w:pPr>
        <w:numPr>
          <w:ilvl w:val="0"/>
          <w:numId w:val="33"/>
        </w:numPr>
        <w:rPr>
          <w:rFonts w:ascii="Times New Roman" w:hAnsi="Times New Roman" w:cs="Times New Roman"/>
        </w:rPr>
      </w:pPr>
      <w:r w:rsidRPr="004C0C25">
        <w:rPr>
          <w:rFonts w:ascii="Times New Roman" w:hAnsi="Times New Roman" w:cs="Times New Roman"/>
        </w:rPr>
        <w:t>Regular investments through SIPs supported steady capital inflows into the industry.</w:t>
      </w:r>
    </w:p>
    <w:p w14:paraId="4CBEE4F1"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Category-wise Inflow Analysis</w:t>
      </w:r>
    </w:p>
    <w:p w14:paraId="5261E191"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Net inflow analysis was conducted across mutual fund categories.</w:t>
      </w:r>
    </w:p>
    <w:p w14:paraId="101766B9" w14:textId="455246E3" w:rsidR="004C0C25" w:rsidRPr="004C0C25" w:rsidRDefault="004C0C25" w:rsidP="004B08B1">
      <w:pPr>
        <w:rPr>
          <w:rFonts w:ascii="Times New Roman" w:hAnsi="Times New Roman" w:cs="Times New Roman"/>
        </w:rPr>
      </w:pPr>
      <w:r w:rsidRPr="004C0C25">
        <w:rPr>
          <w:rFonts w:ascii="Times New Roman" w:hAnsi="Times New Roman" w:cs="Times New Roman"/>
        </w:rPr>
        <w:t>Categories analy</w:t>
      </w:r>
      <w:r>
        <w:rPr>
          <w:rFonts w:ascii="Times New Roman" w:hAnsi="Times New Roman" w:cs="Times New Roman"/>
        </w:rPr>
        <w:t>s</w:t>
      </w:r>
      <w:r w:rsidRPr="004C0C25">
        <w:rPr>
          <w:rFonts w:ascii="Times New Roman" w:hAnsi="Times New Roman" w:cs="Times New Roman"/>
        </w:rPr>
        <w:t>ed included:</w:t>
      </w:r>
    </w:p>
    <w:p w14:paraId="6CCC8206"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t>Large Cap Funds</w:t>
      </w:r>
    </w:p>
    <w:p w14:paraId="7CA51092"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t>Mid Cap Funds</w:t>
      </w:r>
    </w:p>
    <w:p w14:paraId="63799C8F"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t>Small Cap Funds</w:t>
      </w:r>
    </w:p>
    <w:p w14:paraId="4B780CF7"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t>Flexi Cap Funds</w:t>
      </w:r>
    </w:p>
    <w:p w14:paraId="5796329A"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t>Hybrid Funds</w:t>
      </w:r>
    </w:p>
    <w:p w14:paraId="382013BD"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t>Liquid Funds</w:t>
      </w:r>
    </w:p>
    <w:p w14:paraId="41A212AD" w14:textId="77777777" w:rsidR="004C0C25" w:rsidRPr="004C0C25" w:rsidRDefault="004C0C25" w:rsidP="004B08B1">
      <w:pPr>
        <w:numPr>
          <w:ilvl w:val="0"/>
          <w:numId w:val="34"/>
        </w:numPr>
        <w:rPr>
          <w:rFonts w:ascii="Times New Roman" w:hAnsi="Times New Roman" w:cs="Times New Roman"/>
        </w:rPr>
      </w:pPr>
      <w:r w:rsidRPr="004C0C25">
        <w:rPr>
          <w:rFonts w:ascii="Times New Roman" w:hAnsi="Times New Roman" w:cs="Times New Roman"/>
        </w:rPr>
        <w:lastRenderedPageBreak/>
        <w:t>Sectoral/Thematic Funds</w:t>
      </w:r>
    </w:p>
    <w:p w14:paraId="01B34899"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55F4CF93" w14:textId="77777777" w:rsidR="004C0C25" w:rsidRPr="004C0C25" w:rsidRDefault="004C0C25" w:rsidP="004B08B1">
      <w:pPr>
        <w:numPr>
          <w:ilvl w:val="0"/>
          <w:numId w:val="35"/>
        </w:numPr>
        <w:rPr>
          <w:rFonts w:ascii="Times New Roman" w:hAnsi="Times New Roman" w:cs="Times New Roman"/>
        </w:rPr>
      </w:pPr>
      <w:r w:rsidRPr="004C0C25">
        <w:rPr>
          <w:rFonts w:ascii="Times New Roman" w:hAnsi="Times New Roman" w:cs="Times New Roman"/>
        </w:rPr>
        <w:t>Liquid funds recorded substantial inflows due to liquidity preferences.</w:t>
      </w:r>
    </w:p>
    <w:p w14:paraId="2BCC2AE0" w14:textId="77777777" w:rsidR="004C0C25" w:rsidRPr="004C0C25" w:rsidRDefault="004C0C25" w:rsidP="004B08B1">
      <w:pPr>
        <w:numPr>
          <w:ilvl w:val="0"/>
          <w:numId w:val="35"/>
        </w:numPr>
        <w:rPr>
          <w:rFonts w:ascii="Times New Roman" w:hAnsi="Times New Roman" w:cs="Times New Roman"/>
        </w:rPr>
      </w:pPr>
      <w:r w:rsidRPr="004C0C25">
        <w:rPr>
          <w:rFonts w:ascii="Times New Roman" w:hAnsi="Times New Roman" w:cs="Times New Roman"/>
        </w:rPr>
        <w:t>Flexi-cap and mid-cap funds attracted significant investor interest.</w:t>
      </w:r>
    </w:p>
    <w:p w14:paraId="52959024" w14:textId="77777777" w:rsidR="004C0C25" w:rsidRPr="004C0C25" w:rsidRDefault="004C0C25" w:rsidP="004B08B1">
      <w:pPr>
        <w:numPr>
          <w:ilvl w:val="0"/>
          <w:numId w:val="35"/>
        </w:numPr>
        <w:rPr>
          <w:rFonts w:ascii="Times New Roman" w:hAnsi="Times New Roman" w:cs="Times New Roman"/>
        </w:rPr>
      </w:pPr>
      <w:r w:rsidRPr="004C0C25">
        <w:rPr>
          <w:rFonts w:ascii="Times New Roman" w:hAnsi="Times New Roman" w:cs="Times New Roman"/>
        </w:rPr>
        <w:t>Sectoral and thematic funds experienced selective inflows driven by market trends.</w:t>
      </w:r>
    </w:p>
    <w:p w14:paraId="4EC79AD5"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Top Performing Categories</w:t>
      </w:r>
    </w:p>
    <w:p w14:paraId="5A8BAA7B"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The category inflow analysis identified the most attractive investment segments.</w:t>
      </w:r>
    </w:p>
    <w:p w14:paraId="3B180700"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23D16E6F" w14:textId="77777777" w:rsidR="004C0C25" w:rsidRPr="004C0C25" w:rsidRDefault="004C0C25" w:rsidP="004B08B1">
      <w:pPr>
        <w:numPr>
          <w:ilvl w:val="0"/>
          <w:numId w:val="36"/>
        </w:numPr>
        <w:rPr>
          <w:rFonts w:ascii="Times New Roman" w:hAnsi="Times New Roman" w:cs="Times New Roman"/>
        </w:rPr>
      </w:pPr>
      <w:r w:rsidRPr="004C0C25">
        <w:rPr>
          <w:rFonts w:ascii="Times New Roman" w:hAnsi="Times New Roman" w:cs="Times New Roman"/>
        </w:rPr>
        <w:t>Equity-oriented categories continued to dominate investor preference.</w:t>
      </w:r>
    </w:p>
    <w:p w14:paraId="34864D3A" w14:textId="77777777" w:rsidR="004C0C25" w:rsidRPr="004C0C25" w:rsidRDefault="004C0C25" w:rsidP="004B08B1">
      <w:pPr>
        <w:numPr>
          <w:ilvl w:val="0"/>
          <w:numId w:val="36"/>
        </w:numPr>
        <w:rPr>
          <w:rFonts w:ascii="Times New Roman" w:hAnsi="Times New Roman" w:cs="Times New Roman"/>
        </w:rPr>
      </w:pPr>
      <w:r w:rsidRPr="004C0C25">
        <w:rPr>
          <w:rFonts w:ascii="Times New Roman" w:hAnsi="Times New Roman" w:cs="Times New Roman"/>
        </w:rPr>
        <w:t>Diversified funds remained popular among long-term investors.</w:t>
      </w:r>
    </w:p>
    <w:p w14:paraId="1F4D66B1" w14:textId="77777777" w:rsidR="004C0C25" w:rsidRPr="004C0C25" w:rsidRDefault="004C0C25" w:rsidP="004B08B1">
      <w:pPr>
        <w:numPr>
          <w:ilvl w:val="0"/>
          <w:numId w:val="36"/>
        </w:numPr>
        <w:rPr>
          <w:rFonts w:ascii="Times New Roman" w:hAnsi="Times New Roman" w:cs="Times New Roman"/>
        </w:rPr>
      </w:pPr>
      <w:r w:rsidRPr="004C0C25">
        <w:rPr>
          <w:rFonts w:ascii="Times New Roman" w:hAnsi="Times New Roman" w:cs="Times New Roman"/>
        </w:rPr>
        <w:t>Hybrid products attracted investors seeking balanced risk exposure.</w:t>
      </w:r>
    </w:p>
    <w:p w14:paraId="776945C0" w14:textId="77777777" w:rsidR="004C0C25" w:rsidRPr="004C0C25" w:rsidRDefault="004C0C25" w:rsidP="004B08B1">
      <w:pPr>
        <w:rPr>
          <w:rFonts w:ascii="Times New Roman" w:hAnsi="Times New Roman" w:cs="Times New Roman"/>
          <w:b/>
          <w:bCs/>
          <w:sz w:val="28"/>
          <w:szCs w:val="28"/>
        </w:rPr>
      </w:pPr>
      <w:r w:rsidRPr="004C0C25">
        <w:rPr>
          <w:rFonts w:ascii="Times New Roman" w:hAnsi="Times New Roman" w:cs="Times New Roman"/>
          <w:b/>
          <w:bCs/>
          <w:sz w:val="28"/>
          <w:szCs w:val="28"/>
        </w:rPr>
        <w:t>Market Participation Trends</w:t>
      </w:r>
    </w:p>
    <w:p w14:paraId="1CA5D276"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Market participation indicators revealed growing retail involvement.</w:t>
      </w:r>
    </w:p>
    <w:p w14:paraId="2087A826" w14:textId="77777777" w:rsidR="004C0C25" w:rsidRPr="004C0C25" w:rsidRDefault="004C0C25" w:rsidP="004B08B1">
      <w:pPr>
        <w:rPr>
          <w:rFonts w:ascii="Times New Roman" w:hAnsi="Times New Roman" w:cs="Times New Roman"/>
        </w:rPr>
      </w:pPr>
      <w:r w:rsidRPr="004C0C25">
        <w:rPr>
          <w:rFonts w:ascii="Times New Roman" w:hAnsi="Times New Roman" w:cs="Times New Roman"/>
        </w:rPr>
        <w:t>Key observations:</w:t>
      </w:r>
    </w:p>
    <w:p w14:paraId="0F4A84E3" w14:textId="77777777" w:rsidR="004C0C25" w:rsidRPr="004C0C25" w:rsidRDefault="004C0C25" w:rsidP="004B08B1">
      <w:pPr>
        <w:numPr>
          <w:ilvl w:val="0"/>
          <w:numId w:val="37"/>
        </w:numPr>
        <w:rPr>
          <w:rFonts w:ascii="Times New Roman" w:hAnsi="Times New Roman" w:cs="Times New Roman"/>
        </w:rPr>
      </w:pPr>
      <w:r w:rsidRPr="004C0C25">
        <w:rPr>
          <w:rFonts w:ascii="Times New Roman" w:hAnsi="Times New Roman" w:cs="Times New Roman"/>
        </w:rPr>
        <w:t>Increasing folio counts indicate rising investor engagement.</w:t>
      </w:r>
    </w:p>
    <w:p w14:paraId="38D8AC17" w14:textId="77777777" w:rsidR="004C0C25" w:rsidRPr="004C0C25" w:rsidRDefault="004C0C25" w:rsidP="004B08B1">
      <w:pPr>
        <w:numPr>
          <w:ilvl w:val="0"/>
          <w:numId w:val="37"/>
        </w:numPr>
        <w:rPr>
          <w:rFonts w:ascii="Times New Roman" w:hAnsi="Times New Roman" w:cs="Times New Roman"/>
        </w:rPr>
      </w:pPr>
      <w:r w:rsidRPr="004C0C25">
        <w:rPr>
          <w:rFonts w:ascii="Times New Roman" w:hAnsi="Times New Roman" w:cs="Times New Roman"/>
        </w:rPr>
        <w:t>SIP adoption continues to expand across demographic groups.</w:t>
      </w:r>
    </w:p>
    <w:p w14:paraId="06BE6E7C" w14:textId="6D6BFAE0" w:rsidR="004C0C25" w:rsidRPr="00730F5C" w:rsidRDefault="004C0C25" w:rsidP="004B08B1">
      <w:pPr>
        <w:numPr>
          <w:ilvl w:val="0"/>
          <w:numId w:val="37"/>
        </w:numPr>
        <w:rPr>
          <w:rFonts w:ascii="Times New Roman" w:hAnsi="Times New Roman" w:cs="Times New Roman"/>
        </w:rPr>
      </w:pPr>
      <w:r w:rsidRPr="004C0C25">
        <w:rPr>
          <w:rFonts w:ascii="Times New Roman" w:hAnsi="Times New Roman" w:cs="Times New Roman"/>
        </w:rPr>
        <w:t>Digital investment platforms have contributed significantly to participation growth.</w:t>
      </w:r>
      <w:r w:rsidR="00E77AAA" w:rsidRPr="00730F5C">
        <w:rPr>
          <w:rFonts w:ascii="Times New Roman" w:hAnsi="Times New Roman" w:cs="Times New Roman"/>
          <w:b/>
          <w:bCs/>
          <w:sz w:val="32"/>
          <w:szCs w:val="32"/>
        </w:rPr>
        <w:br/>
      </w:r>
      <w:r w:rsidR="00E77AAA" w:rsidRPr="00730F5C">
        <w:rPr>
          <w:rFonts w:ascii="Times New Roman" w:hAnsi="Times New Roman" w:cs="Times New Roman"/>
          <w:b/>
          <w:bCs/>
          <w:sz w:val="32"/>
          <w:szCs w:val="32"/>
        </w:rPr>
        <w:br/>
      </w:r>
      <w:r w:rsidR="004B08B1" w:rsidRPr="00730F5C">
        <w:rPr>
          <w:rFonts w:ascii="Times New Roman" w:hAnsi="Times New Roman" w:cs="Times New Roman"/>
          <w:b/>
          <w:bCs/>
          <w:sz w:val="32"/>
          <w:szCs w:val="32"/>
        </w:rPr>
        <w:t xml:space="preserve">                     </w:t>
      </w:r>
      <w:r w:rsidR="00E77AAA" w:rsidRPr="00730F5C">
        <w:rPr>
          <w:rFonts w:ascii="Times New Roman" w:hAnsi="Times New Roman" w:cs="Times New Roman"/>
          <w:b/>
          <w:bCs/>
          <w:sz w:val="32"/>
          <w:szCs w:val="32"/>
        </w:rPr>
        <w:t>Risk Metrics (VaR, CVaR, Sharpe)</w:t>
      </w:r>
    </w:p>
    <w:p w14:paraId="41DC9586"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Advanced risk analytics were performed to evaluate downside risk, portfolio stability, and risk-adjusted performance across mutual fund schemes.</w:t>
      </w:r>
    </w:p>
    <w:p w14:paraId="46611CDB" w14:textId="77777777" w:rsidR="00AB71DE" w:rsidRPr="00AB71DE" w:rsidRDefault="00AB71DE" w:rsidP="004B08B1">
      <w:pPr>
        <w:rPr>
          <w:rFonts w:ascii="Times New Roman" w:hAnsi="Times New Roman" w:cs="Times New Roman"/>
          <w:b/>
          <w:bCs/>
          <w:sz w:val="28"/>
          <w:szCs w:val="28"/>
        </w:rPr>
      </w:pPr>
      <w:r w:rsidRPr="00AB71DE">
        <w:rPr>
          <w:rFonts w:ascii="Times New Roman" w:hAnsi="Times New Roman" w:cs="Times New Roman"/>
          <w:b/>
          <w:bCs/>
          <w:sz w:val="28"/>
          <w:szCs w:val="28"/>
        </w:rPr>
        <w:t>Value at Risk (VaR)</w:t>
      </w:r>
    </w:p>
    <w:p w14:paraId="169CDBF9"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Historical Value at Risk (VaR) was calculated at a 95% confidence level using daily return distributions.</w:t>
      </w:r>
    </w:p>
    <w:p w14:paraId="1AAF8DD7"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Formula:</w:t>
      </w:r>
    </w:p>
    <w:p w14:paraId="5BE1354A"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VaR (95%) = 5th Percentile of Daily Returns</w:t>
      </w:r>
    </w:p>
    <w:p w14:paraId="69C63CF5"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VaR estimates the maximum expected loss over a given period under normal market conditions.</w:t>
      </w:r>
    </w:p>
    <w:p w14:paraId="751D847A"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Key observations:</w:t>
      </w:r>
    </w:p>
    <w:p w14:paraId="087037BB" w14:textId="77777777" w:rsidR="00AB71DE" w:rsidRPr="00AB71DE" w:rsidRDefault="00AB71DE" w:rsidP="004B08B1">
      <w:pPr>
        <w:numPr>
          <w:ilvl w:val="0"/>
          <w:numId w:val="38"/>
        </w:numPr>
        <w:rPr>
          <w:rFonts w:ascii="Times New Roman" w:hAnsi="Times New Roman" w:cs="Times New Roman"/>
        </w:rPr>
      </w:pPr>
      <w:r w:rsidRPr="00AB71DE">
        <w:rPr>
          <w:rFonts w:ascii="Times New Roman" w:hAnsi="Times New Roman" w:cs="Times New Roman"/>
        </w:rPr>
        <w:t>Equity-oriented funds exhibited higher VaR values due to increased market volatility.</w:t>
      </w:r>
    </w:p>
    <w:p w14:paraId="5416BAB4" w14:textId="77777777" w:rsidR="00AB71DE" w:rsidRPr="00AB71DE" w:rsidRDefault="00AB71DE" w:rsidP="004B08B1">
      <w:pPr>
        <w:numPr>
          <w:ilvl w:val="0"/>
          <w:numId w:val="38"/>
        </w:numPr>
        <w:rPr>
          <w:rFonts w:ascii="Times New Roman" w:hAnsi="Times New Roman" w:cs="Times New Roman"/>
        </w:rPr>
      </w:pPr>
      <w:r w:rsidRPr="00AB71DE">
        <w:rPr>
          <w:rFonts w:ascii="Times New Roman" w:hAnsi="Times New Roman" w:cs="Times New Roman"/>
        </w:rPr>
        <w:lastRenderedPageBreak/>
        <w:t>Large-cap funds generally showed lower downside risk compared to small-cap and thematic funds.</w:t>
      </w:r>
    </w:p>
    <w:p w14:paraId="070566F5" w14:textId="77777777" w:rsidR="00AB71DE" w:rsidRPr="00AB71DE" w:rsidRDefault="00AB71DE" w:rsidP="004B08B1">
      <w:pPr>
        <w:numPr>
          <w:ilvl w:val="0"/>
          <w:numId w:val="38"/>
        </w:numPr>
        <w:rPr>
          <w:rFonts w:ascii="Times New Roman" w:hAnsi="Times New Roman" w:cs="Times New Roman"/>
        </w:rPr>
      </w:pPr>
      <w:r w:rsidRPr="00AB71DE">
        <w:rPr>
          <w:rFonts w:ascii="Times New Roman" w:hAnsi="Times New Roman" w:cs="Times New Roman"/>
        </w:rPr>
        <w:t>VaR provides investors with a quantitative measure of potential losses.</w:t>
      </w:r>
    </w:p>
    <w:p w14:paraId="754B7721" w14:textId="77777777" w:rsidR="00AB71DE" w:rsidRPr="00AB71DE" w:rsidRDefault="00AB71DE" w:rsidP="004B08B1">
      <w:pPr>
        <w:rPr>
          <w:rFonts w:ascii="Times New Roman" w:hAnsi="Times New Roman" w:cs="Times New Roman"/>
          <w:b/>
          <w:bCs/>
          <w:sz w:val="28"/>
          <w:szCs w:val="28"/>
        </w:rPr>
      </w:pPr>
      <w:r w:rsidRPr="00AB71DE">
        <w:rPr>
          <w:rFonts w:ascii="Times New Roman" w:hAnsi="Times New Roman" w:cs="Times New Roman"/>
          <w:b/>
          <w:bCs/>
          <w:sz w:val="28"/>
          <w:szCs w:val="28"/>
        </w:rPr>
        <w:t>Conditional Value at Risk (CVaR)</w:t>
      </w:r>
    </w:p>
    <w:p w14:paraId="6B261AAE"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Conditional Value at Risk (CVaR) measures the average loss beyond the VaR threshold.</w:t>
      </w:r>
    </w:p>
    <w:p w14:paraId="2FDA826B"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Formula:</w:t>
      </w:r>
    </w:p>
    <w:p w14:paraId="6CCA0A6D"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CVaR = Mean(Returns ≤ VaR)</w:t>
      </w:r>
    </w:p>
    <w:p w14:paraId="1DFEE359"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Key observations:</w:t>
      </w:r>
    </w:p>
    <w:p w14:paraId="56648899" w14:textId="77777777" w:rsidR="00AB71DE" w:rsidRPr="00AB71DE" w:rsidRDefault="00AB71DE" w:rsidP="004B08B1">
      <w:pPr>
        <w:numPr>
          <w:ilvl w:val="0"/>
          <w:numId w:val="39"/>
        </w:numPr>
        <w:rPr>
          <w:rFonts w:ascii="Times New Roman" w:hAnsi="Times New Roman" w:cs="Times New Roman"/>
        </w:rPr>
      </w:pPr>
      <w:r w:rsidRPr="00AB71DE">
        <w:rPr>
          <w:rFonts w:ascii="Times New Roman" w:hAnsi="Times New Roman" w:cs="Times New Roman"/>
        </w:rPr>
        <w:t>CVaR captured the severity of losses during extreme market events.</w:t>
      </w:r>
    </w:p>
    <w:p w14:paraId="69D9496B" w14:textId="77777777" w:rsidR="00AB71DE" w:rsidRPr="00AB71DE" w:rsidRDefault="00AB71DE" w:rsidP="004B08B1">
      <w:pPr>
        <w:numPr>
          <w:ilvl w:val="0"/>
          <w:numId w:val="39"/>
        </w:numPr>
        <w:rPr>
          <w:rFonts w:ascii="Times New Roman" w:hAnsi="Times New Roman" w:cs="Times New Roman"/>
        </w:rPr>
      </w:pPr>
      <w:r w:rsidRPr="00AB71DE">
        <w:rPr>
          <w:rFonts w:ascii="Times New Roman" w:hAnsi="Times New Roman" w:cs="Times New Roman"/>
        </w:rPr>
        <w:t>Funds with higher volatility demonstrated more negative CVaR values.</w:t>
      </w:r>
    </w:p>
    <w:p w14:paraId="4FE28708" w14:textId="77777777" w:rsidR="00AB71DE" w:rsidRPr="00AB71DE" w:rsidRDefault="00AB71DE" w:rsidP="004B08B1">
      <w:pPr>
        <w:numPr>
          <w:ilvl w:val="0"/>
          <w:numId w:val="39"/>
        </w:numPr>
        <w:rPr>
          <w:rFonts w:ascii="Times New Roman" w:hAnsi="Times New Roman" w:cs="Times New Roman"/>
        </w:rPr>
      </w:pPr>
      <w:r w:rsidRPr="00AB71DE">
        <w:rPr>
          <w:rFonts w:ascii="Times New Roman" w:hAnsi="Times New Roman" w:cs="Times New Roman"/>
        </w:rPr>
        <w:t>CVaR complements VaR by providing deeper insight into tail-risk exposure.</w:t>
      </w:r>
    </w:p>
    <w:p w14:paraId="40630CBB" w14:textId="77777777" w:rsidR="00AB71DE" w:rsidRPr="00AB71DE" w:rsidRDefault="00AB71DE" w:rsidP="004B08B1">
      <w:pPr>
        <w:rPr>
          <w:rFonts w:ascii="Times New Roman" w:hAnsi="Times New Roman" w:cs="Times New Roman"/>
          <w:b/>
          <w:bCs/>
          <w:sz w:val="28"/>
          <w:szCs w:val="28"/>
        </w:rPr>
      </w:pPr>
      <w:r w:rsidRPr="00AB71DE">
        <w:rPr>
          <w:rFonts w:ascii="Times New Roman" w:hAnsi="Times New Roman" w:cs="Times New Roman"/>
          <w:b/>
          <w:bCs/>
          <w:sz w:val="28"/>
          <w:szCs w:val="28"/>
        </w:rPr>
        <w:t>Rolling 90-Day Sharpe Ratio</w:t>
      </w:r>
    </w:p>
    <w:p w14:paraId="32EC3F12"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The Rolling Sharpe Ratio was calculated to monitor risk-adjusted performance over time.</w:t>
      </w:r>
    </w:p>
    <w:p w14:paraId="2C3C66EA"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Formula:</w:t>
      </w:r>
    </w:p>
    <w:p w14:paraId="2444DC87"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Rolling Sharpe Ratio = Rolling Mean(Returns) / Rolling Standard Deviation(Returns) × √252</w:t>
      </w:r>
    </w:p>
    <w:p w14:paraId="00CCDF65"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Key observations:</w:t>
      </w:r>
    </w:p>
    <w:p w14:paraId="4EA2C995" w14:textId="77777777" w:rsidR="00AB71DE" w:rsidRPr="00AB71DE" w:rsidRDefault="00AB71DE" w:rsidP="004B08B1">
      <w:pPr>
        <w:numPr>
          <w:ilvl w:val="0"/>
          <w:numId w:val="40"/>
        </w:numPr>
        <w:rPr>
          <w:rFonts w:ascii="Times New Roman" w:hAnsi="Times New Roman" w:cs="Times New Roman"/>
        </w:rPr>
      </w:pPr>
      <w:r w:rsidRPr="00AB71DE">
        <w:rPr>
          <w:rFonts w:ascii="Times New Roman" w:hAnsi="Times New Roman" w:cs="Times New Roman"/>
        </w:rPr>
        <w:t>Rolling Sharpe analysis revealed changing risk-adjusted performance across market cycles.</w:t>
      </w:r>
    </w:p>
    <w:p w14:paraId="561C3331" w14:textId="77777777" w:rsidR="00AB71DE" w:rsidRPr="00AB71DE" w:rsidRDefault="00AB71DE" w:rsidP="004B08B1">
      <w:pPr>
        <w:numPr>
          <w:ilvl w:val="0"/>
          <w:numId w:val="40"/>
        </w:numPr>
        <w:rPr>
          <w:rFonts w:ascii="Times New Roman" w:hAnsi="Times New Roman" w:cs="Times New Roman"/>
        </w:rPr>
      </w:pPr>
      <w:r w:rsidRPr="00AB71DE">
        <w:rPr>
          <w:rFonts w:ascii="Times New Roman" w:hAnsi="Times New Roman" w:cs="Times New Roman"/>
        </w:rPr>
        <w:t>Consistently positive Sharpe Ratios indicated stable performance.</w:t>
      </w:r>
    </w:p>
    <w:p w14:paraId="12E4D0D8" w14:textId="77777777" w:rsidR="00AB71DE" w:rsidRPr="00AB71DE" w:rsidRDefault="00AB71DE" w:rsidP="004B08B1">
      <w:pPr>
        <w:numPr>
          <w:ilvl w:val="0"/>
          <w:numId w:val="40"/>
        </w:numPr>
        <w:rPr>
          <w:rFonts w:ascii="Times New Roman" w:hAnsi="Times New Roman" w:cs="Times New Roman"/>
        </w:rPr>
      </w:pPr>
      <w:r w:rsidRPr="00AB71DE">
        <w:rPr>
          <w:rFonts w:ascii="Times New Roman" w:hAnsi="Times New Roman" w:cs="Times New Roman"/>
        </w:rPr>
        <w:t>Significant fluctuations reflected periods of market uncertainty and volatility.</w:t>
      </w:r>
    </w:p>
    <w:p w14:paraId="6F2CB37A" w14:textId="77777777" w:rsidR="00AB71DE" w:rsidRPr="00AB71DE" w:rsidRDefault="00AB71DE" w:rsidP="004B08B1">
      <w:pPr>
        <w:rPr>
          <w:rFonts w:ascii="Times New Roman" w:hAnsi="Times New Roman" w:cs="Times New Roman"/>
          <w:b/>
          <w:bCs/>
          <w:sz w:val="28"/>
          <w:szCs w:val="28"/>
        </w:rPr>
      </w:pPr>
      <w:r w:rsidRPr="00AB71DE">
        <w:rPr>
          <w:rFonts w:ascii="Times New Roman" w:hAnsi="Times New Roman" w:cs="Times New Roman"/>
          <w:b/>
          <w:bCs/>
          <w:sz w:val="28"/>
          <w:szCs w:val="28"/>
        </w:rPr>
        <w:t>Alpha and Beta Analysis</w:t>
      </w:r>
    </w:p>
    <w:p w14:paraId="20EE3453"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Alpha and Beta metrics were calculated relative to benchmark indices.</w:t>
      </w:r>
    </w:p>
    <w:p w14:paraId="6D5A284B"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Alpha:</w:t>
      </w:r>
    </w:p>
    <w:p w14:paraId="36C8C4C6" w14:textId="77777777" w:rsidR="00AB71DE" w:rsidRPr="00AB71DE" w:rsidRDefault="00AB71DE" w:rsidP="004B08B1">
      <w:pPr>
        <w:numPr>
          <w:ilvl w:val="0"/>
          <w:numId w:val="41"/>
        </w:numPr>
        <w:rPr>
          <w:rFonts w:ascii="Times New Roman" w:hAnsi="Times New Roman" w:cs="Times New Roman"/>
        </w:rPr>
      </w:pPr>
      <w:r w:rsidRPr="00AB71DE">
        <w:rPr>
          <w:rFonts w:ascii="Times New Roman" w:hAnsi="Times New Roman" w:cs="Times New Roman"/>
        </w:rPr>
        <w:t>Measures excess return relative to benchmark expectations.</w:t>
      </w:r>
    </w:p>
    <w:p w14:paraId="4F31BFC3" w14:textId="77777777" w:rsidR="00AB71DE" w:rsidRPr="00AB71DE" w:rsidRDefault="00AB71DE" w:rsidP="004B08B1">
      <w:pPr>
        <w:numPr>
          <w:ilvl w:val="0"/>
          <w:numId w:val="41"/>
        </w:numPr>
        <w:rPr>
          <w:rFonts w:ascii="Times New Roman" w:hAnsi="Times New Roman" w:cs="Times New Roman"/>
        </w:rPr>
      </w:pPr>
      <w:r w:rsidRPr="00AB71DE">
        <w:rPr>
          <w:rFonts w:ascii="Times New Roman" w:hAnsi="Times New Roman" w:cs="Times New Roman"/>
        </w:rPr>
        <w:t>Positive Alpha indicates fund outperformance.</w:t>
      </w:r>
    </w:p>
    <w:p w14:paraId="429681E4"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Beta:</w:t>
      </w:r>
    </w:p>
    <w:p w14:paraId="2301F0CE" w14:textId="77777777" w:rsidR="00AB71DE" w:rsidRPr="00AB71DE" w:rsidRDefault="00AB71DE" w:rsidP="004B08B1">
      <w:pPr>
        <w:numPr>
          <w:ilvl w:val="0"/>
          <w:numId w:val="42"/>
        </w:numPr>
        <w:rPr>
          <w:rFonts w:ascii="Times New Roman" w:hAnsi="Times New Roman" w:cs="Times New Roman"/>
        </w:rPr>
      </w:pPr>
      <w:r w:rsidRPr="00AB71DE">
        <w:rPr>
          <w:rFonts w:ascii="Times New Roman" w:hAnsi="Times New Roman" w:cs="Times New Roman"/>
        </w:rPr>
        <w:t>Measures sensitivity to market movements.</w:t>
      </w:r>
    </w:p>
    <w:p w14:paraId="1C7FD4AC" w14:textId="77777777" w:rsidR="00AB71DE" w:rsidRPr="00AB71DE" w:rsidRDefault="00AB71DE" w:rsidP="004B08B1">
      <w:pPr>
        <w:numPr>
          <w:ilvl w:val="0"/>
          <w:numId w:val="42"/>
        </w:numPr>
        <w:rPr>
          <w:rFonts w:ascii="Times New Roman" w:hAnsi="Times New Roman" w:cs="Times New Roman"/>
        </w:rPr>
      </w:pPr>
      <w:r w:rsidRPr="00AB71DE">
        <w:rPr>
          <w:rFonts w:ascii="Times New Roman" w:hAnsi="Times New Roman" w:cs="Times New Roman"/>
        </w:rPr>
        <w:t>Higher Beta values indicate greater market exposure.</w:t>
      </w:r>
    </w:p>
    <w:p w14:paraId="6F0E890C"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Key observations:</w:t>
      </w:r>
    </w:p>
    <w:p w14:paraId="1BAC84E7" w14:textId="77777777" w:rsidR="00AB71DE" w:rsidRPr="00AB71DE" w:rsidRDefault="00AB71DE" w:rsidP="004B08B1">
      <w:pPr>
        <w:numPr>
          <w:ilvl w:val="0"/>
          <w:numId w:val="43"/>
        </w:numPr>
        <w:rPr>
          <w:rFonts w:ascii="Times New Roman" w:hAnsi="Times New Roman" w:cs="Times New Roman"/>
        </w:rPr>
      </w:pPr>
      <w:r w:rsidRPr="00AB71DE">
        <w:rPr>
          <w:rFonts w:ascii="Times New Roman" w:hAnsi="Times New Roman" w:cs="Times New Roman"/>
        </w:rPr>
        <w:lastRenderedPageBreak/>
        <w:t>Several equity funds generated positive Alpha values.</w:t>
      </w:r>
    </w:p>
    <w:p w14:paraId="447348FE" w14:textId="77777777" w:rsidR="00AB71DE" w:rsidRDefault="00AB71DE" w:rsidP="004B08B1">
      <w:pPr>
        <w:numPr>
          <w:ilvl w:val="0"/>
          <w:numId w:val="43"/>
        </w:numPr>
        <w:rPr>
          <w:rFonts w:ascii="Times New Roman" w:hAnsi="Times New Roman" w:cs="Times New Roman"/>
        </w:rPr>
      </w:pPr>
      <w:r w:rsidRPr="00AB71DE">
        <w:rPr>
          <w:rFonts w:ascii="Times New Roman" w:hAnsi="Times New Roman" w:cs="Times New Roman"/>
        </w:rPr>
        <w:t>Diversified funds maintained moderate Beta levels while delivering competitive returns.</w:t>
      </w:r>
    </w:p>
    <w:p w14:paraId="7B90F0FB" w14:textId="77777777" w:rsidR="004B08B1" w:rsidRPr="00AB71DE" w:rsidRDefault="004B08B1" w:rsidP="004B08B1">
      <w:pPr>
        <w:ind w:left="720"/>
        <w:rPr>
          <w:rFonts w:ascii="Times New Roman" w:hAnsi="Times New Roman" w:cs="Times New Roman"/>
        </w:rPr>
      </w:pPr>
    </w:p>
    <w:p w14:paraId="15C3FF29" w14:textId="77777777" w:rsidR="00AB71DE" w:rsidRPr="00AB71DE" w:rsidRDefault="00AB71DE" w:rsidP="004B08B1">
      <w:pPr>
        <w:rPr>
          <w:rFonts w:ascii="Times New Roman" w:hAnsi="Times New Roman" w:cs="Times New Roman"/>
          <w:b/>
          <w:bCs/>
          <w:sz w:val="28"/>
          <w:szCs w:val="28"/>
        </w:rPr>
      </w:pPr>
      <w:r w:rsidRPr="00AB71DE">
        <w:rPr>
          <w:rFonts w:ascii="Times New Roman" w:hAnsi="Times New Roman" w:cs="Times New Roman"/>
          <w:b/>
          <w:bCs/>
          <w:sz w:val="28"/>
          <w:szCs w:val="28"/>
        </w:rPr>
        <w:t>Portfolio Concentration Risk (HHI)</w:t>
      </w:r>
    </w:p>
    <w:p w14:paraId="1B2074EE"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The Herfindahl-Hirschman Index (HHI) was used to measure sector concentration within fund portfolios.</w:t>
      </w:r>
    </w:p>
    <w:p w14:paraId="4732884E"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Formula:</w:t>
      </w:r>
    </w:p>
    <w:p w14:paraId="78A3FADD"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HHI = Σ (Weightᵢ²)</w:t>
      </w:r>
    </w:p>
    <w:p w14:paraId="45DBEB05" w14:textId="77777777" w:rsidR="00AB71DE" w:rsidRPr="00AB71DE" w:rsidRDefault="00AB71DE" w:rsidP="004B08B1">
      <w:pPr>
        <w:rPr>
          <w:rFonts w:ascii="Times New Roman" w:hAnsi="Times New Roman" w:cs="Times New Roman"/>
        </w:rPr>
      </w:pPr>
      <w:r w:rsidRPr="00AB71DE">
        <w:rPr>
          <w:rFonts w:ascii="Times New Roman" w:hAnsi="Times New Roman" w:cs="Times New Roman"/>
        </w:rPr>
        <w:t>Key observations:</w:t>
      </w:r>
    </w:p>
    <w:p w14:paraId="20D3E6AD" w14:textId="77777777" w:rsidR="00AB71DE" w:rsidRPr="00AB71DE" w:rsidRDefault="00AB71DE" w:rsidP="004B08B1">
      <w:pPr>
        <w:numPr>
          <w:ilvl w:val="0"/>
          <w:numId w:val="44"/>
        </w:numPr>
        <w:rPr>
          <w:rFonts w:ascii="Times New Roman" w:hAnsi="Times New Roman" w:cs="Times New Roman"/>
        </w:rPr>
      </w:pPr>
      <w:r w:rsidRPr="00AB71DE">
        <w:rPr>
          <w:rFonts w:ascii="Times New Roman" w:hAnsi="Times New Roman" w:cs="Times New Roman"/>
        </w:rPr>
        <w:t>Higher HHI values indicate concentrated portfolios.</w:t>
      </w:r>
    </w:p>
    <w:p w14:paraId="7C4535BD" w14:textId="77777777" w:rsidR="00AB71DE" w:rsidRPr="00AB71DE" w:rsidRDefault="00AB71DE" w:rsidP="004B08B1">
      <w:pPr>
        <w:numPr>
          <w:ilvl w:val="0"/>
          <w:numId w:val="44"/>
        </w:numPr>
        <w:rPr>
          <w:rFonts w:ascii="Times New Roman" w:hAnsi="Times New Roman" w:cs="Times New Roman"/>
        </w:rPr>
      </w:pPr>
      <w:r w:rsidRPr="00AB71DE">
        <w:rPr>
          <w:rFonts w:ascii="Times New Roman" w:hAnsi="Times New Roman" w:cs="Times New Roman"/>
        </w:rPr>
        <w:t>Lower HHI values suggest greater diversification.</w:t>
      </w:r>
    </w:p>
    <w:p w14:paraId="6E67D5CB" w14:textId="77777777" w:rsidR="00730F5C" w:rsidRDefault="00AB71DE" w:rsidP="004B08B1">
      <w:pPr>
        <w:numPr>
          <w:ilvl w:val="0"/>
          <w:numId w:val="44"/>
        </w:numPr>
        <w:rPr>
          <w:rFonts w:ascii="Times New Roman" w:hAnsi="Times New Roman" w:cs="Times New Roman"/>
        </w:rPr>
      </w:pPr>
      <w:r w:rsidRPr="00AB71DE">
        <w:rPr>
          <w:rFonts w:ascii="Times New Roman" w:hAnsi="Times New Roman" w:cs="Times New Roman"/>
        </w:rPr>
        <w:t>Diversified funds generally exhibited lower concentration risk.</w:t>
      </w:r>
    </w:p>
    <w:p w14:paraId="2EB738D2" w14:textId="50BFF005" w:rsidR="00A42D4B" w:rsidRPr="00730F5C" w:rsidRDefault="00E77AAA" w:rsidP="00730F5C">
      <w:pPr>
        <w:ind w:left="360"/>
        <w:rPr>
          <w:rFonts w:ascii="Times New Roman" w:hAnsi="Times New Roman" w:cs="Times New Roman"/>
        </w:rPr>
      </w:pPr>
      <w:r w:rsidRPr="00730F5C">
        <w:rPr>
          <w:rFonts w:ascii="Times New Roman" w:hAnsi="Times New Roman" w:cs="Times New Roman"/>
          <w:b/>
          <w:bCs/>
          <w:sz w:val="32"/>
          <w:szCs w:val="32"/>
        </w:rPr>
        <w:br/>
      </w:r>
      <w:r w:rsidR="004B08B1" w:rsidRPr="00730F5C">
        <w:rPr>
          <w:rFonts w:ascii="Times New Roman" w:hAnsi="Times New Roman" w:cs="Times New Roman"/>
          <w:b/>
          <w:bCs/>
          <w:sz w:val="32"/>
          <w:szCs w:val="32"/>
        </w:rPr>
        <w:t xml:space="preserve">                            </w:t>
      </w:r>
      <w:r w:rsidRPr="00730F5C">
        <w:rPr>
          <w:rFonts w:ascii="Times New Roman" w:hAnsi="Times New Roman" w:cs="Times New Roman"/>
          <w:b/>
          <w:bCs/>
          <w:sz w:val="32"/>
          <w:szCs w:val="32"/>
        </w:rPr>
        <w:t>Dashboard Screenshots</w:t>
      </w:r>
      <w:r w:rsidR="004B08B1" w:rsidRPr="00730F5C">
        <w:rPr>
          <w:rFonts w:ascii="Times New Roman" w:hAnsi="Times New Roman" w:cs="Times New Roman"/>
          <w:b/>
          <w:bCs/>
          <w:sz w:val="32"/>
          <w:szCs w:val="32"/>
        </w:rPr>
        <w:t xml:space="preserve">  </w:t>
      </w:r>
    </w:p>
    <w:p w14:paraId="2D015CEF" w14:textId="460BA15D" w:rsidR="00A42D4B" w:rsidRPr="00A42D4B" w:rsidRDefault="00A42D4B" w:rsidP="004B08B1">
      <w:pPr>
        <w:rPr>
          <w:rFonts w:ascii="Times New Roman" w:hAnsi="Times New Roman" w:cs="Times New Roman"/>
          <w:b/>
          <w:bCs/>
          <w:sz w:val="28"/>
          <w:szCs w:val="28"/>
        </w:rPr>
      </w:pPr>
      <w:r w:rsidRPr="00A42D4B">
        <w:rPr>
          <w:rFonts w:ascii="Times New Roman" w:hAnsi="Times New Roman" w:cs="Times New Roman"/>
          <w:b/>
          <w:bCs/>
          <w:sz w:val="28"/>
          <w:szCs w:val="28"/>
        </w:rPr>
        <w:t>Industry Overview</w:t>
      </w:r>
      <w:r w:rsidRPr="00A42D4B">
        <w:rPr>
          <w:rFonts w:ascii="Times New Roman" w:hAnsi="Times New Roman" w:cs="Times New Roman"/>
          <w:b/>
          <w:bCs/>
          <w:sz w:val="28"/>
          <w:szCs w:val="28"/>
        </w:rPr>
        <w:t>:</w:t>
      </w:r>
    </w:p>
    <w:p w14:paraId="43A74855" w14:textId="64A1C4A2" w:rsidR="00AB71DE" w:rsidRDefault="00AB71DE" w:rsidP="004B08B1">
      <w:pPr>
        <w:rPr>
          <w:rFonts w:ascii="Times New Roman" w:hAnsi="Times New Roman" w:cs="Times New Roman"/>
          <w:b/>
          <w:bCs/>
          <w:sz w:val="32"/>
          <w:szCs w:val="32"/>
        </w:rPr>
      </w:pPr>
      <w:r w:rsidRPr="00AB71DE">
        <w:rPr>
          <w:rFonts w:ascii="Times New Roman" w:hAnsi="Times New Roman" w:cs="Times New Roman"/>
          <w:b/>
          <w:bCs/>
          <w:sz w:val="32"/>
          <w:szCs w:val="32"/>
        </w:rPr>
        <w:drawing>
          <wp:inline distT="0" distB="0" distL="0" distR="0" wp14:anchorId="2B7B19AC" wp14:editId="6A5985E3">
            <wp:extent cx="5731510" cy="3288030"/>
            <wp:effectExtent l="0" t="0" r="2540" b="7620"/>
            <wp:docPr id="98970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09870" name=""/>
                    <pic:cNvPicPr/>
                  </pic:nvPicPr>
                  <pic:blipFill>
                    <a:blip r:embed="rId7"/>
                    <a:stretch>
                      <a:fillRect/>
                    </a:stretch>
                  </pic:blipFill>
                  <pic:spPr>
                    <a:xfrm>
                      <a:off x="0" y="0"/>
                      <a:ext cx="5731510" cy="3288030"/>
                    </a:xfrm>
                    <a:prstGeom prst="rect">
                      <a:avLst/>
                    </a:prstGeom>
                  </pic:spPr>
                </pic:pic>
              </a:graphicData>
            </a:graphic>
          </wp:inline>
        </w:drawing>
      </w:r>
    </w:p>
    <w:p w14:paraId="31B0DEDA" w14:textId="77777777" w:rsidR="00A42D4B" w:rsidRDefault="00A42D4B" w:rsidP="004B08B1">
      <w:pPr>
        <w:rPr>
          <w:rFonts w:ascii="Times New Roman" w:hAnsi="Times New Roman" w:cs="Times New Roman"/>
        </w:rPr>
      </w:pPr>
      <w:r w:rsidRPr="00A42D4B">
        <w:rPr>
          <w:rFonts w:ascii="Times New Roman" w:hAnsi="Times New Roman" w:cs="Times New Roman"/>
          <w:b/>
          <w:bCs/>
        </w:rPr>
        <w:t>Figure</w:t>
      </w:r>
      <w:r w:rsidRPr="00A42D4B">
        <w:rPr>
          <w:rFonts w:ascii="Times New Roman" w:hAnsi="Times New Roman" w:cs="Times New Roman"/>
        </w:rPr>
        <w:t xml:space="preserve"> </w:t>
      </w:r>
      <w:r w:rsidRPr="00A42D4B">
        <w:rPr>
          <w:rFonts w:ascii="Times New Roman" w:hAnsi="Times New Roman" w:cs="Times New Roman"/>
          <w:b/>
          <w:bCs/>
        </w:rPr>
        <w:t>1</w:t>
      </w:r>
      <w:r w:rsidRPr="00A42D4B">
        <w:rPr>
          <w:rFonts w:ascii="Times New Roman" w:hAnsi="Times New Roman" w:cs="Times New Roman"/>
        </w:rPr>
        <w:t>: Industry Overview dashboard showing AUM growth, SIP inflows, folio count, and</w:t>
      </w:r>
    </w:p>
    <w:p w14:paraId="546F5C61" w14:textId="77777777" w:rsidR="00730F5C" w:rsidRDefault="00BD3E65" w:rsidP="004B08B1">
      <w:pPr>
        <w:rPr>
          <w:rFonts w:ascii="Times New Roman" w:hAnsi="Times New Roman" w:cs="Times New Roman"/>
        </w:rPr>
      </w:pPr>
      <w:r>
        <w:rPr>
          <w:rFonts w:ascii="Times New Roman" w:hAnsi="Times New Roman" w:cs="Times New Roman"/>
        </w:rPr>
        <w:t xml:space="preserve">                </w:t>
      </w:r>
      <w:r w:rsidR="00A42D4B" w:rsidRPr="00A42D4B">
        <w:rPr>
          <w:rFonts w:ascii="Times New Roman" w:hAnsi="Times New Roman" w:cs="Times New Roman"/>
        </w:rPr>
        <w:t>fund house market share.</w:t>
      </w:r>
    </w:p>
    <w:p w14:paraId="059EA657" w14:textId="7FFAD2A1" w:rsidR="00A42D4B" w:rsidRPr="00730F5C" w:rsidRDefault="00A42D4B" w:rsidP="004B08B1">
      <w:pPr>
        <w:rPr>
          <w:rFonts w:ascii="Times New Roman" w:hAnsi="Times New Roman" w:cs="Times New Roman"/>
        </w:rPr>
      </w:pPr>
      <w:r w:rsidRPr="00A42D4B">
        <w:rPr>
          <w:rFonts w:ascii="Times New Roman" w:hAnsi="Times New Roman" w:cs="Times New Roman"/>
          <w:b/>
          <w:bCs/>
          <w:sz w:val="28"/>
          <w:szCs w:val="28"/>
        </w:rPr>
        <w:lastRenderedPageBreak/>
        <w:t>Fund Performance Analysis</w:t>
      </w:r>
      <w:r w:rsidRPr="00A42D4B">
        <w:rPr>
          <w:rFonts w:ascii="Times New Roman" w:hAnsi="Times New Roman" w:cs="Times New Roman"/>
          <w:b/>
          <w:bCs/>
          <w:sz w:val="28"/>
          <w:szCs w:val="28"/>
        </w:rPr>
        <w:t>:</w:t>
      </w:r>
    </w:p>
    <w:p w14:paraId="5A44494F" w14:textId="77777777" w:rsidR="00A42D4B" w:rsidRDefault="00AB71DE" w:rsidP="004B08B1">
      <w:pPr>
        <w:rPr>
          <w:rFonts w:ascii="Times New Roman" w:hAnsi="Times New Roman" w:cs="Times New Roman"/>
          <w:b/>
          <w:bCs/>
          <w:sz w:val="32"/>
          <w:szCs w:val="32"/>
        </w:rPr>
      </w:pPr>
      <w:r w:rsidRPr="00AB71DE">
        <w:rPr>
          <w:rFonts w:ascii="Times New Roman" w:hAnsi="Times New Roman" w:cs="Times New Roman"/>
          <w:b/>
          <w:bCs/>
          <w:sz w:val="32"/>
          <w:szCs w:val="32"/>
        </w:rPr>
        <w:drawing>
          <wp:inline distT="0" distB="0" distL="0" distR="0" wp14:anchorId="6E9734B7" wp14:editId="40A577DC">
            <wp:extent cx="5731510" cy="3308350"/>
            <wp:effectExtent l="0" t="0" r="2540" b="6350"/>
            <wp:docPr id="21454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283" name=""/>
                    <pic:cNvPicPr/>
                  </pic:nvPicPr>
                  <pic:blipFill>
                    <a:blip r:embed="rId8"/>
                    <a:stretch>
                      <a:fillRect/>
                    </a:stretch>
                  </pic:blipFill>
                  <pic:spPr>
                    <a:xfrm>
                      <a:off x="0" y="0"/>
                      <a:ext cx="5731510" cy="3308350"/>
                    </a:xfrm>
                    <a:prstGeom prst="rect">
                      <a:avLst/>
                    </a:prstGeom>
                  </pic:spPr>
                </pic:pic>
              </a:graphicData>
            </a:graphic>
          </wp:inline>
        </w:drawing>
      </w:r>
    </w:p>
    <w:p w14:paraId="5DF36DF1" w14:textId="77777777" w:rsidR="00BD3E65" w:rsidRDefault="00A42D4B" w:rsidP="004B08B1">
      <w:pPr>
        <w:rPr>
          <w:rFonts w:ascii="Times New Roman" w:hAnsi="Times New Roman" w:cs="Times New Roman"/>
        </w:rPr>
      </w:pPr>
      <w:r w:rsidRPr="00A42D4B">
        <w:rPr>
          <w:rFonts w:ascii="Times New Roman" w:hAnsi="Times New Roman" w:cs="Times New Roman"/>
          <w:b/>
          <w:bCs/>
        </w:rPr>
        <w:t>Figure 2</w:t>
      </w:r>
      <w:r w:rsidRPr="00A42D4B">
        <w:rPr>
          <w:rFonts w:ascii="Times New Roman" w:hAnsi="Times New Roman" w:cs="Times New Roman"/>
        </w:rPr>
        <w:t>: Fund Performance dashboard illustrating risk-return characteristics and</w:t>
      </w:r>
    </w:p>
    <w:p w14:paraId="606B3D5E" w14:textId="1D860CD7" w:rsidR="00A42D4B" w:rsidRDefault="00BD3E65" w:rsidP="004B08B1">
      <w:pPr>
        <w:rPr>
          <w:rFonts w:ascii="Times New Roman" w:hAnsi="Times New Roman" w:cs="Times New Roman"/>
        </w:rPr>
      </w:pPr>
      <w:r>
        <w:rPr>
          <w:rFonts w:ascii="Times New Roman" w:hAnsi="Times New Roman" w:cs="Times New Roman"/>
        </w:rPr>
        <w:t xml:space="preserve">                </w:t>
      </w:r>
      <w:r w:rsidR="00A42D4B" w:rsidRPr="00A42D4B">
        <w:rPr>
          <w:rFonts w:ascii="Times New Roman" w:hAnsi="Times New Roman" w:cs="Times New Roman"/>
        </w:rPr>
        <w:t>comparative fund performance metrics.</w:t>
      </w:r>
    </w:p>
    <w:p w14:paraId="59BC7089" w14:textId="58FCC8D5" w:rsidR="00A42D4B" w:rsidRPr="00A42D4B" w:rsidRDefault="00A42D4B" w:rsidP="004B08B1">
      <w:pPr>
        <w:rPr>
          <w:rFonts w:ascii="Times New Roman" w:hAnsi="Times New Roman" w:cs="Times New Roman"/>
          <w:b/>
          <w:bCs/>
          <w:sz w:val="28"/>
          <w:szCs w:val="28"/>
        </w:rPr>
      </w:pPr>
      <w:r w:rsidRPr="00A42D4B">
        <w:rPr>
          <w:rFonts w:ascii="Times New Roman" w:hAnsi="Times New Roman" w:cs="Times New Roman"/>
          <w:b/>
          <w:bCs/>
          <w:sz w:val="28"/>
          <w:szCs w:val="28"/>
        </w:rPr>
        <w:t>Investor Analytics</w:t>
      </w:r>
      <w:r>
        <w:rPr>
          <w:rFonts w:ascii="Times New Roman" w:hAnsi="Times New Roman" w:cs="Times New Roman"/>
          <w:b/>
          <w:bCs/>
          <w:sz w:val="28"/>
          <w:szCs w:val="28"/>
        </w:rPr>
        <w:t>:</w:t>
      </w:r>
    </w:p>
    <w:p w14:paraId="4377DA0B" w14:textId="77777777" w:rsidR="00A42D4B" w:rsidRDefault="00A42D4B" w:rsidP="004B08B1">
      <w:pPr>
        <w:rPr>
          <w:rFonts w:ascii="Times New Roman" w:hAnsi="Times New Roman" w:cs="Times New Roman"/>
          <w:b/>
          <w:bCs/>
          <w:sz w:val="32"/>
          <w:szCs w:val="32"/>
        </w:rPr>
      </w:pPr>
      <w:r w:rsidRPr="00A42D4B">
        <w:rPr>
          <w:rFonts w:ascii="Times New Roman" w:hAnsi="Times New Roman" w:cs="Times New Roman"/>
          <w:b/>
          <w:bCs/>
          <w:sz w:val="32"/>
          <w:szCs w:val="32"/>
        </w:rPr>
        <w:drawing>
          <wp:inline distT="0" distB="0" distL="0" distR="0" wp14:anchorId="4C47B2E5" wp14:editId="5E9451D2">
            <wp:extent cx="5731510" cy="3317240"/>
            <wp:effectExtent l="0" t="0" r="2540" b="0"/>
            <wp:docPr id="153522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26563" name=""/>
                    <pic:cNvPicPr/>
                  </pic:nvPicPr>
                  <pic:blipFill>
                    <a:blip r:embed="rId9"/>
                    <a:stretch>
                      <a:fillRect/>
                    </a:stretch>
                  </pic:blipFill>
                  <pic:spPr>
                    <a:xfrm>
                      <a:off x="0" y="0"/>
                      <a:ext cx="5731510" cy="3317240"/>
                    </a:xfrm>
                    <a:prstGeom prst="rect">
                      <a:avLst/>
                    </a:prstGeom>
                  </pic:spPr>
                </pic:pic>
              </a:graphicData>
            </a:graphic>
          </wp:inline>
        </w:drawing>
      </w:r>
    </w:p>
    <w:p w14:paraId="08A01D4A" w14:textId="77777777" w:rsidR="00BD3E65" w:rsidRDefault="00A42D4B" w:rsidP="004B08B1">
      <w:r w:rsidRPr="00A42D4B">
        <w:rPr>
          <w:b/>
          <w:bCs/>
        </w:rPr>
        <w:t>Figure 3</w:t>
      </w:r>
      <w:r w:rsidRPr="00A42D4B">
        <w:t>: Investor Analytics dashboard highlighting investor demographics, transaction</w:t>
      </w:r>
      <w:r>
        <w:t xml:space="preserve"> </w:t>
      </w:r>
    </w:p>
    <w:p w14:paraId="27D3E7D0" w14:textId="77777777" w:rsidR="003C3C69" w:rsidRDefault="00BD3E65" w:rsidP="004B08B1">
      <w:pPr>
        <w:rPr>
          <w:b/>
          <w:bCs/>
          <w:sz w:val="32"/>
          <w:szCs w:val="32"/>
        </w:rPr>
      </w:pPr>
      <w:r>
        <w:t xml:space="preserve">                </w:t>
      </w:r>
      <w:r w:rsidR="00A42D4B" w:rsidRPr="00A42D4B">
        <w:t>behavio</w:t>
      </w:r>
      <w:r w:rsidR="00A42D4B">
        <w:t>u</w:t>
      </w:r>
      <w:r w:rsidR="00A42D4B" w:rsidRPr="00A42D4B">
        <w:t>r, and geographic participation</w:t>
      </w:r>
      <w:r w:rsidR="00A42D4B" w:rsidRPr="00A42D4B">
        <w:rPr>
          <w:b/>
          <w:bCs/>
          <w:sz w:val="32"/>
          <w:szCs w:val="32"/>
        </w:rPr>
        <w:t>.</w:t>
      </w:r>
    </w:p>
    <w:p w14:paraId="6957A19A" w14:textId="0979FC62" w:rsidR="00A42D4B" w:rsidRPr="003C3C69" w:rsidRDefault="00A42D4B" w:rsidP="004B08B1">
      <w:pPr>
        <w:rPr>
          <w:b/>
          <w:bCs/>
          <w:sz w:val="32"/>
          <w:szCs w:val="32"/>
        </w:rPr>
      </w:pPr>
      <w:r w:rsidRPr="00A42D4B">
        <w:rPr>
          <w:b/>
          <w:bCs/>
          <w:sz w:val="28"/>
          <w:szCs w:val="28"/>
        </w:rPr>
        <w:lastRenderedPageBreak/>
        <w:t>SIP &amp; Market Trends</w:t>
      </w:r>
      <w:r w:rsidRPr="00A42D4B">
        <w:rPr>
          <w:b/>
          <w:bCs/>
          <w:sz w:val="28"/>
          <w:szCs w:val="28"/>
        </w:rPr>
        <w:t>:</w:t>
      </w:r>
    </w:p>
    <w:p w14:paraId="439A5B55" w14:textId="77777777" w:rsidR="00A42D4B" w:rsidRDefault="00A42D4B" w:rsidP="004B08B1">
      <w:pPr>
        <w:rPr>
          <w:rFonts w:ascii="Times New Roman" w:hAnsi="Times New Roman" w:cs="Times New Roman"/>
          <w:b/>
          <w:bCs/>
          <w:sz w:val="32"/>
          <w:szCs w:val="32"/>
        </w:rPr>
      </w:pPr>
      <w:r w:rsidRPr="00A42D4B">
        <w:rPr>
          <w:rFonts w:ascii="Times New Roman" w:hAnsi="Times New Roman" w:cs="Times New Roman"/>
          <w:b/>
          <w:bCs/>
          <w:sz w:val="32"/>
          <w:szCs w:val="32"/>
        </w:rPr>
        <w:drawing>
          <wp:inline distT="0" distB="0" distL="0" distR="0" wp14:anchorId="59F9790D" wp14:editId="0053CC9B">
            <wp:extent cx="5731510" cy="3298190"/>
            <wp:effectExtent l="0" t="0" r="2540" b="0"/>
            <wp:docPr id="1820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03746" name=""/>
                    <pic:cNvPicPr/>
                  </pic:nvPicPr>
                  <pic:blipFill>
                    <a:blip r:embed="rId10"/>
                    <a:stretch>
                      <a:fillRect/>
                    </a:stretch>
                  </pic:blipFill>
                  <pic:spPr>
                    <a:xfrm>
                      <a:off x="0" y="0"/>
                      <a:ext cx="5731510" cy="3298190"/>
                    </a:xfrm>
                    <a:prstGeom prst="rect">
                      <a:avLst/>
                    </a:prstGeom>
                  </pic:spPr>
                </pic:pic>
              </a:graphicData>
            </a:graphic>
          </wp:inline>
        </w:drawing>
      </w:r>
    </w:p>
    <w:p w14:paraId="0FDC4723" w14:textId="77777777" w:rsidR="00BD3E65" w:rsidRDefault="00A42D4B" w:rsidP="004B08B1">
      <w:pPr>
        <w:rPr>
          <w:rFonts w:ascii="Times New Roman" w:hAnsi="Times New Roman" w:cs="Times New Roman"/>
        </w:rPr>
      </w:pPr>
      <w:r w:rsidRPr="00A42D4B">
        <w:rPr>
          <w:rFonts w:ascii="Times New Roman" w:hAnsi="Times New Roman" w:cs="Times New Roman"/>
          <w:b/>
          <w:bCs/>
        </w:rPr>
        <w:t>Figure 4</w:t>
      </w:r>
      <w:r w:rsidRPr="00A42D4B">
        <w:rPr>
          <w:rFonts w:ascii="Times New Roman" w:hAnsi="Times New Roman" w:cs="Times New Roman"/>
        </w:rPr>
        <w:t>: SIP &amp; Market Trends dashboard showing SIP growth and category-wise investment</w:t>
      </w:r>
      <w:r>
        <w:rPr>
          <w:rFonts w:ascii="Times New Roman" w:hAnsi="Times New Roman" w:cs="Times New Roman"/>
        </w:rPr>
        <w:t xml:space="preserve">          </w:t>
      </w:r>
    </w:p>
    <w:p w14:paraId="09EF423A" w14:textId="77777777" w:rsidR="003C3C69" w:rsidRDefault="00BD3E65" w:rsidP="004B08B1">
      <w:pPr>
        <w:rPr>
          <w:rFonts w:ascii="Times New Roman" w:hAnsi="Times New Roman" w:cs="Times New Roman"/>
        </w:rPr>
      </w:pPr>
      <w:r>
        <w:rPr>
          <w:rFonts w:ascii="Times New Roman" w:hAnsi="Times New Roman" w:cs="Times New Roman"/>
        </w:rPr>
        <w:t xml:space="preserve">                 </w:t>
      </w:r>
      <w:r w:rsidR="00A42D4B" w:rsidRPr="00A42D4B">
        <w:rPr>
          <w:rFonts w:ascii="Times New Roman" w:hAnsi="Times New Roman" w:cs="Times New Roman"/>
        </w:rPr>
        <w:t>preferences.</w:t>
      </w:r>
    </w:p>
    <w:p w14:paraId="3F608611" w14:textId="61801695" w:rsidR="00BD3E65" w:rsidRDefault="00E77AAA" w:rsidP="004B08B1">
      <w:pPr>
        <w:rPr>
          <w:rFonts w:ascii="Times New Roman" w:hAnsi="Times New Roman" w:cs="Times New Roman"/>
          <w:b/>
          <w:bCs/>
          <w:sz w:val="32"/>
          <w:szCs w:val="32"/>
        </w:rPr>
      </w:pPr>
      <w:r w:rsidRPr="00E77AAA">
        <w:rPr>
          <w:rFonts w:ascii="Times New Roman" w:hAnsi="Times New Roman" w:cs="Times New Roman"/>
          <w:b/>
          <w:bCs/>
          <w:sz w:val="32"/>
          <w:szCs w:val="32"/>
        </w:rPr>
        <w:br/>
      </w:r>
      <w:r w:rsidR="004B08B1">
        <w:rPr>
          <w:rFonts w:ascii="Times New Roman" w:hAnsi="Times New Roman" w:cs="Times New Roman"/>
          <w:b/>
          <w:bCs/>
          <w:sz w:val="32"/>
          <w:szCs w:val="32"/>
        </w:rPr>
        <w:t xml:space="preserve">                                       </w:t>
      </w:r>
      <w:r w:rsidRPr="00E77AAA">
        <w:rPr>
          <w:rFonts w:ascii="Times New Roman" w:hAnsi="Times New Roman" w:cs="Times New Roman"/>
          <w:b/>
          <w:bCs/>
          <w:sz w:val="32"/>
          <w:szCs w:val="32"/>
        </w:rPr>
        <w:t>Key Insights</w:t>
      </w:r>
    </w:p>
    <w:p w14:paraId="7D26D1FC" w14:textId="6AF5A542" w:rsidR="00BD3E65" w:rsidRPr="00BD3E65" w:rsidRDefault="00BD3E65" w:rsidP="004B08B1">
      <w:pPr>
        <w:rPr>
          <w:rFonts w:ascii="Times New Roman" w:hAnsi="Times New Roman" w:cs="Times New Roman"/>
          <w:b/>
          <w:bCs/>
          <w:sz w:val="28"/>
          <w:szCs w:val="28"/>
        </w:rPr>
      </w:pPr>
      <w:r w:rsidRPr="00BD3E65">
        <w:rPr>
          <w:rFonts w:ascii="Times New Roman" w:hAnsi="Times New Roman" w:cs="Times New Roman"/>
          <w:b/>
          <w:bCs/>
          <w:sz w:val="28"/>
          <w:szCs w:val="28"/>
        </w:rPr>
        <w:t>1</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Industry Growth </w:t>
      </w:r>
    </w:p>
    <w:p w14:paraId="5552B804" w14:textId="77777777" w:rsidR="00BD3E65" w:rsidRPr="00BD3E65" w:rsidRDefault="00BD3E65" w:rsidP="004B08B1">
      <w:pPr>
        <w:numPr>
          <w:ilvl w:val="0"/>
          <w:numId w:val="45"/>
        </w:numPr>
        <w:rPr>
          <w:rFonts w:ascii="Times New Roman" w:hAnsi="Times New Roman" w:cs="Times New Roman"/>
        </w:rPr>
      </w:pPr>
      <w:r w:rsidRPr="00BD3E65">
        <w:rPr>
          <w:rFonts w:ascii="Times New Roman" w:hAnsi="Times New Roman" w:cs="Times New Roman"/>
        </w:rPr>
        <w:t xml:space="preserve">Assets Under Management (AUM) showed strong growth between 2022 and 2025, indicating increasing investor participation in mutual funds. </w:t>
      </w:r>
    </w:p>
    <w:p w14:paraId="616A5AE0" w14:textId="684645EE" w:rsidR="00BD3E65" w:rsidRPr="00BD3E65" w:rsidRDefault="00BD3E65" w:rsidP="004B08B1">
      <w:pPr>
        <w:rPr>
          <w:rFonts w:ascii="Times New Roman" w:hAnsi="Times New Roman" w:cs="Times New Roman"/>
          <w:b/>
          <w:bCs/>
          <w:sz w:val="28"/>
          <w:szCs w:val="28"/>
        </w:rPr>
      </w:pPr>
      <w:r w:rsidRPr="00BD3E65">
        <w:rPr>
          <w:rFonts w:ascii="Times New Roman" w:hAnsi="Times New Roman" w:cs="Times New Roman"/>
          <w:b/>
          <w:bCs/>
          <w:sz w:val="28"/>
          <w:szCs w:val="28"/>
        </w:rPr>
        <w:t>2</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SIP Adoption </w:t>
      </w:r>
    </w:p>
    <w:p w14:paraId="482D3305" w14:textId="77777777" w:rsidR="00BD3E65" w:rsidRPr="00BD3E65" w:rsidRDefault="00BD3E65" w:rsidP="004B08B1">
      <w:pPr>
        <w:numPr>
          <w:ilvl w:val="0"/>
          <w:numId w:val="46"/>
        </w:numPr>
        <w:rPr>
          <w:rFonts w:ascii="Times New Roman" w:hAnsi="Times New Roman" w:cs="Times New Roman"/>
        </w:rPr>
      </w:pPr>
      <w:r w:rsidRPr="00BD3E65">
        <w:rPr>
          <w:rFonts w:ascii="Times New Roman" w:hAnsi="Times New Roman" w:cs="Times New Roman"/>
        </w:rPr>
        <w:t xml:space="preserve">Monthly SIP inflows increased consistently over the analysis period, demonstrating strong investor confidence in systematic investing. </w:t>
      </w:r>
    </w:p>
    <w:p w14:paraId="090B1306" w14:textId="2A3C599B" w:rsidR="00BD3E65" w:rsidRPr="00BD3E65" w:rsidRDefault="00BD3E65" w:rsidP="004B08B1">
      <w:pPr>
        <w:rPr>
          <w:rFonts w:ascii="Times New Roman" w:hAnsi="Times New Roman" w:cs="Times New Roman"/>
          <w:b/>
          <w:bCs/>
          <w:sz w:val="28"/>
          <w:szCs w:val="28"/>
        </w:rPr>
      </w:pPr>
      <w:r w:rsidRPr="00BD3E65">
        <w:rPr>
          <w:rFonts w:ascii="Times New Roman" w:hAnsi="Times New Roman" w:cs="Times New Roman"/>
          <w:b/>
          <w:bCs/>
          <w:sz w:val="28"/>
          <w:szCs w:val="28"/>
        </w:rPr>
        <w:t>3</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Fund Performance </w:t>
      </w:r>
    </w:p>
    <w:p w14:paraId="5D34D3FD" w14:textId="5958BBED" w:rsidR="00BD3E65" w:rsidRPr="00BD3E65" w:rsidRDefault="00BD3E65" w:rsidP="004B08B1">
      <w:pPr>
        <w:numPr>
          <w:ilvl w:val="0"/>
          <w:numId w:val="47"/>
        </w:numPr>
        <w:rPr>
          <w:rFonts w:ascii="Times New Roman" w:hAnsi="Times New Roman" w:cs="Times New Roman"/>
        </w:rPr>
      </w:pPr>
      <w:r w:rsidRPr="00BD3E65">
        <w:rPr>
          <w:rFonts w:ascii="Times New Roman" w:hAnsi="Times New Roman" w:cs="Times New Roman"/>
        </w:rPr>
        <w:t xml:space="preserve">Small-cap and mid-cap funds delivered higher returns but exhibited greater volatility compared to large-cap funds. </w:t>
      </w:r>
    </w:p>
    <w:p w14:paraId="65F5F0AD" w14:textId="6CD1C118" w:rsidR="00BD3E65" w:rsidRPr="00BD3E65" w:rsidRDefault="00BD3E65" w:rsidP="004B08B1">
      <w:pPr>
        <w:rPr>
          <w:rFonts w:ascii="Times New Roman" w:hAnsi="Times New Roman" w:cs="Times New Roman"/>
          <w:b/>
          <w:bCs/>
          <w:sz w:val="28"/>
          <w:szCs w:val="28"/>
        </w:rPr>
      </w:pPr>
      <w:r w:rsidRPr="00BD3E65">
        <w:rPr>
          <w:rFonts w:ascii="Times New Roman" w:hAnsi="Times New Roman" w:cs="Times New Roman"/>
          <w:b/>
          <w:bCs/>
          <w:sz w:val="28"/>
          <w:szCs w:val="28"/>
        </w:rPr>
        <w:t>4</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Investor Behavio</w:t>
      </w:r>
      <w:r w:rsidRPr="00BD3E65">
        <w:rPr>
          <w:rFonts w:ascii="Times New Roman" w:hAnsi="Times New Roman" w:cs="Times New Roman"/>
          <w:b/>
          <w:bCs/>
          <w:sz w:val="28"/>
          <w:szCs w:val="28"/>
        </w:rPr>
        <w:t>u</w:t>
      </w:r>
      <w:r w:rsidRPr="00BD3E65">
        <w:rPr>
          <w:rFonts w:ascii="Times New Roman" w:hAnsi="Times New Roman" w:cs="Times New Roman"/>
          <w:b/>
          <w:bCs/>
          <w:sz w:val="28"/>
          <w:szCs w:val="28"/>
        </w:rPr>
        <w:t xml:space="preserve">r </w:t>
      </w:r>
    </w:p>
    <w:p w14:paraId="1AD64236" w14:textId="1AA24EFE" w:rsidR="00BD3E65" w:rsidRPr="004B08B1" w:rsidRDefault="00BD3E65" w:rsidP="004B08B1">
      <w:pPr>
        <w:numPr>
          <w:ilvl w:val="0"/>
          <w:numId w:val="48"/>
        </w:numPr>
        <w:rPr>
          <w:rFonts w:ascii="Times New Roman" w:hAnsi="Times New Roman" w:cs="Times New Roman"/>
        </w:rPr>
      </w:pPr>
      <w:r w:rsidRPr="00BD3E65">
        <w:rPr>
          <w:rFonts w:ascii="Times New Roman" w:hAnsi="Times New Roman" w:cs="Times New Roman"/>
        </w:rPr>
        <w:t xml:space="preserve">Investors aged 26–35 contributed the highest investment amounts, making them the most active investor segment. </w:t>
      </w:r>
    </w:p>
    <w:p w14:paraId="4065AFEB" w14:textId="293B42D8" w:rsidR="003C3C69" w:rsidRPr="003C3C69" w:rsidRDefault="00BD3E65" w:rsidP="00730F5C">
      <w:pPr>
        <w:rPr>
          <w:rFonts w:ascii="Times New Roman" w:hAnsi="Times New Roman" w:cs="Times New Roman"/>
        </w:rPr>
      </w:pPr>
      <w:r w:rsidRPr="00BD3E65">
        <w:rPr>
          <w:rFonts w:ascii="Times New Roman" w:hAnsi="Times New Roman" w:cs="Times New Roman"/>
          <w:b/>
          <w:bCs/>
          <w:sz w:val="28"/>
          <w:szCs w:val="28"/>
        </w:rPr>
        <w:lastRenderedPageBreak/>
        <w:t>5</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 </w:t>
      </w:r>
      <w:r w:rsidRPr="00BD3E65">
        <w:rPr>
          <w:rFonts w:ascii="Times New Roman" w:hAnsi="Times New Roman" w:cs="Times New Roman"/>
          <w:b/>
          <w:bCs/>
          <w:sz w:val="28"/>
          <w:szCs w:val="28"/>
        </w:rPr>
        <w:t xml:space="preserve">Risk Analytics </w:t>
      </w:r>
      <w:r w:rsidR="003C3C69">
        <w:rPr>
          <w:rFonts w:ascii="Times New Roman" w:hAnsi="Times New Roman" w:cs="Times New Roman"/>
          <w:b/>
          <w:bCs/>
          <w:sz w:val="28"/>
          <w:szCs w:val="28"/>
        </w:rPr>
        <w:br/>
      </w:r>
      <w:r w:rsidRPr="00730F5C">
        <w:rPr>
          <w:rFonts w:ascii="Times New Roman" w:hAnsi="Times New Roman" w:cs="Times New Roman"/>
        </w:rPr>
        <w:t>VaR, CVaR, Rolling Sharpe Ratio, and HHI analysis revealed significant differences in risk exposure and diversification across mutual fund schemes.</w:t>
      </w:r>
    </w:p>
    <w:p w14:paraId="6D640C25" w14:textId="48DF3DE1" w:rsidR="00BD3E65" w:rsidRPr="003C3C69" w:rsidRDefault="003C3C69" w:rsidP="00730F5C">
      <w:pPr>
        <w:rPr>
          <w:rFonts w:ascii="Times New Roman" w:hAnsi="Times New Roman" w:cs="Times New Roman"/>
          <w:b/>
          <w:bCs/>
          <w:sz w:val="32"/>
          <w:szCs w:val="32"/>
        </w:rPr>
      </w:pPr>
      <w:r>
        <w:rPr>
          <w:rFonts w:ascii="Times New Roman" w:hAnsi="Times New Roman" w:cs="Times New Roman"/>
          <w:b/>
          <w:bCs/>
          <w:sz w:val="32"/>
          <w:szCs w:val="32"/>
        </w:rPr>
        <w:t xml:space="preserve">                       </w:t>
      </w:r>
      <w:r w:rsidR="004B08B1" w:rsidRPr="00730F5C">
        <w:rPr>
          <w:rFonts w:ascii="Times New Roman" w:hAnsi="Times New Roman" w:cs="Times New Roman"/>
          <w:b/>
          <w:bCs/>
          <w:sz w:val="32"/>
          <w:szCs w:val="32"/>
        </w:rPr>
        <w:t xml:space="preserve">              </w:t>
      </w:r>
      <w:r w:rsidR="00E77AAA" w:rsidRPr="00730F5C">
        <w:rPr>
          <w:rFonts w:ascii="Times New Roman" w:hAnsi="Times New Roman" w:cs="Times New Roman"/>
          <w:b/>
          <w:bCs/>
          <w:sz w:val="32"/>
          <w:szCs w:val="32"/>
        </w:rPr>
        <w:t>Limitations</w:t>
      </w:r>
    </w:p>
    <w:p w14:paraId="6807B840" w14:textId="51EF7FA9" w:rsidR="00BD3E65" w:rsidRPr="00BD3E65" w:rsidRDefault="00BD3E65" w:rsidP="004B08B1">
      <w:pPr>
        <w:rPr>
          <w:rFonts w:ascii="Times New Roman" w:hAnsi="Times New Roman" w:cs="Times New Roman"/>
        </w:rPr>
      </w:pPr>
      <w:r w:rsidRPr="00BD3E65">
        <w:rPr>
          <w:rFonts w:ascii="Times New Roman" w:hAnsi="Times New Roman" w:cs="Times New Roman"/>
          <w:b/>
          <w:bCs/>
          <w:sz w:val="28"/>
          <w:szCs w:val="28"/>
        </w:rPr>
        <w:t>.</w:t>
      </w:r>
      <w:r w:rsidRPr="00BD3E65">
        <w:rPr>
          <w:rFonts w:ascii="Times New Roman" w:hAnsi="Times New Roman" w:cs="Times New Roman"/>
        </w:rPr>
        <w:t xml:space="preserve">  The analysis is based on historical data and does not guarantee future performance. </w:t>
      </w:r>
    </w:p>
    <w:p w14:paraId="0B3462B8" w14:textId="0ECA683B" w:rsidR="00BD3E65" w:rsidRPr="00BD3E65" w:rsidRDefault="00BD3E65" w:rsidP="004B08B1">
      <w:pPr>
        <w:rPr>
          <w:rFonts w:ascii="Times New Roman" w:hAnsi="Times New Roman" w:cs="Times New Roman"/>
        </w:rPr>
      </w:pPr>
      <w:r w:rsidRPr="003C3C69">
        <w:rPr>
          <w:rFonts w:ascii="Times New Roman" w:hAnsi="Times New Roman" w:cs="Times New Roman"/>
          <w:b/>
          <w:bCs/>
        </w:rPr>
        <w:t>.</w:t>
      </w:r>
      <w:r>
        <w:rPr>
          <w:rFonts w:ascii="Times New Roman" w:hAnsi="Times New Roman" w:cs="Times New Roman"/>
        </w:rPr>
        <w:t xml:space="preserve"> </w:t>
      </w:r>
      <w:r w:rsidRPr="00BD3E65">
        <w:rPr>
          <w:rFonts w:ascii="Times New Roman" w:hAnsi="Times New Roman" w:cs="Times New Roman"/>
        </w:rPr>
        <w:t xml:space="preserve"> Market conditions may change rapidly, affecting fund returns and risk metrics. </w:t>
      </w:r>
    </w:p>
    <w:p w14:paraId="73BBDCCC" w14:textId="4647720B" w:rsidR="00BD3E65" w:rsidRPr="00BD3E65" w:rsidRDefault="00BD3E65" w:rsidP="004B08B1">
      <w:pPr>
        <w:rPr>
          <w:rFonts w:ascii="Times New Roman" w:hAnsi="Times New Roman" w:cs="Times New Roman"/>
        </w:rPr>
      </w:pPr>
      <w:r w:rsidRPr="003C3C69">
        <w:rPr>
          <w:rFonts w:ascii="Times New Roman" w:hAnsi="Times New Roman" w:cs="Times New Roman"/>
          <w:b/>
          <w:bCs/>
        </w:rPr>
        <w:t>.</w:t>
      </w:r>
      <w:r w:rsidRPr="00BD3E65">
        <w:rPr>
          <w:rFonts w:ascii="Times New Roman" w:hAnsi="Times New Roman" w:cs="Times New Roman"/>
        </w:rPr>
        <w:t xml:space="preserve">  Certain datasets were limited to the available project time period. </w:t>
      </w:r>
    </w:p>
    <w:p w14:paraId="7F7461EB" w14:textId="35F61BC8" w:rsidR="00BD3E65" w:rsidRDefault="00BD3E65" w:rsidP="004B08B1">
      <w:pPr>
        <w:rPr>
          <w:rFonts w:ascii="Times New Roman" w:hAnsi="Times New Roman" w:cs="Times New Roman"/>
        </w:rPr>
      </w:pPr>
      <w:r w:rsidRPr="003C3C69">
        <w:rPr>
          <w:rFonts w:ascii="Times New Roman" w:hAnsi="Times New Roman" w:cs="Times New Roman"/>
          <w:b/>
          <w:bCs/>
        </w:rPr>
        <w:t>.</w:t>
      </w:r>
      <w:r>
        <w:rPr>
          <w:rFonts w:ascii="Times New Roman" w:hAnsi="Times New Roman" w:cs="Times New Roman"/>
        </w:rPr>
        <w:t xml:space="preserve"> </w:t>
      </w:r>
      <w:r w:rsidRPr="00BD3E65">
        <w:rPr>
          <w:rFonts w:ascii="Times New Roman" w:hAnsi="Times New Roman" w:cs="Times New Roman"/>
        </w:rPr>
        <w:t xml:space="preserve"> Investor behavio</w:t>
      </w:r>
      <w:r>
        <w:rPr>
          <w:rFonts w:ascii="Times New Roman" w:hAnsi="Times New Roman" w:cs="Times New Roman"/>
        </w:rPr>
        <w:t>u</w:t>
      </w:r>
      <w:r w:rsidRPr="00BD3E65">
        <w:rPr>
          <w:rFonts w:ascii="Times New Roman" w:hAnsi="Times New Roman" w:cs="Times New Roman"/>
        </w:rPr>
        <w:t xml:space="preserve">r analysis does not capture external economic factors </w:t>
      </w:r>
      <w:r>
        <w:rPr>
          <w:rFonts w:ascii="Times New Roman" w:hAnsi="Times New Roman" w:cs="Times New Roman"/>
        </w:rPr>
        <w:t xml:space="preserve">influencing         </w:t>
      </w:r>
    </w:p>
    <w:p w14:paraId="0912618B" w14:textId="62A3836F" w:rsidR="00BD3E65" w:rsidRPr="00BD3E65" w:rsidRDefault="00BD3E65" w:rsidP="004B08B1">
      <w:pPr>
        <w:rPr>
          <w:rFonts w:ascii="Times New Roman" w:hAnsi="Times New Roman" w:cs="Times New Roman"/>
        </w:rPr>
      </w:pPr>
      <w:r>
        <w:rPr>
          <w:rFonts w:ascii="Times New Roman" w:hAnsi="Times New Roman" w:cs="Times New Roman"/>
        </w:rPr>
        <w:t xml:space="preserve">    i</w:t>
      </w:r>
      <w:r w:rsidRPr="00BD3E65">
        <w:rPr>
          <w:rFonts w:ascii="Times New Roman" w:hAnsi="Times New Roman" w:cs="Times New Roman"/>
        </w:rPr>
        <w:t xml:space="preserve">nvestment decisions. </w:t>
      </w:r>
    </w:p>
    <w:p w14:paraId="64157BBF" w14:textId="119B266D" w:rsidR="00BD3E65" w:rsidRPr="00730F5C" w:rsidRDefault="00BD3E65" w:rsidP="004B08B1">
      <w:pPr>
        <w:rPr>
          <w:rFonts w:ascii="Times New Roman" w:hAnsi="Times New Roman" w:cs="Times New Roman"/>
          <w:b/>
          <w:bCs/>
          <w:sz w:val="32"/>
          <w:szCs w:val="32"/>
        </w:rPr>
      </w:pPr>
      <w:r w:rsidRPr="003C3C69">
        <w:rPr>
          <w:rFonts w:ascii="Times New Roman" w:hAnsi="Times New Roman" w:cs="Times New Roman"/>
          <w:b/>
          <w:bCs/>
        </w:rPr>
        <w:t>.</w:t>
      </w:r>
      <w:r w:rsidRPr="00BD3E65">
        <w:rPr>
          <w:rFonts w:ascii="Times New Roman" w:hAnsi="Times New Roman" w:cs="Times New Roman"/>
        </w:rPr>
        <w:t xml:space="preserve">  Advanced portfolio optimization techniques were outside the scope of this capstone project.</w:t>
      </w:r>
      <w:r w:rsidR="00E77AAA" w:rsidRPr="00BD3E65">
        <w:rPr>
          <w:rFonts w:ascii="Times New Roman" w:hAnsi="Times New Roman" w:cs="Times New Roman"/>
        </w:rPr>
        <w:br/>
      </w:r>
      <w:r w:rsidR="00E77AAA" w:rsidRPr="00E77AAA">
        <w:rPr>
          <w:rFonts w:ascii="Times New Roman" w:hAnsi="Times New Roman" w:cs="Times New Roman"/>
          <w:b/>
          <w:bCs/>
          <w:sz w:val="32"/>
          <w:szCs w:val="32"/>
        </w:rPr>
        <w:br/>
      </w:r>
      <w:r w:rsidR="004B08B1">
        <w:rPr>
          <w:rFonts w:ascii="Times New Roman" w:hAnsi="Times New Roman" w:cs="Times New Roman"/>
          <w:b/>
          <w:bCs/>
          <w:sz w:val="32"/>
          <w:szCs w:val="32"/>
        </w:rPr>
        <w:t xml:space="preserve">                                 </w:t>
      </w:r>
      <w:r w:rsidR="00E77AAA" w:rsidRPr="00E77AAA">
        <w:rPr>
          <w:rFonts w:ascii="Times New Roman" w:hAnsi="Times New Roman" w:cs="Times New Roman"/>
          <w:b/>
          <w:bCs/>
          <w:sz w:val="32"/>
          <w:szCs w:val="32"/>
        </w:rPr>
        <w:t>Recommendations</w:t>
      </w:r>
      <w:r w:rsidR="00E77AAA" w:rsidRPr="00E77AAA">
        <w:rPr>
          <w:rFonts w:ascii="Times New Roman" w:hAnsi="Times New Roman" w:cs="Times New Roman"/>
          <w:b/>
          <w:bCs/>
          <w:sz w:val="32"/>
          <w:szCs w:val="32"/>
        </w:rPr>
        <w:br/>
      </w:r>
      <w:r w:rsidRPr="00BD3E65">
        <w:rPr>
          <w:rFonts w:ascii="Times New Roman" w:hAnsi="Times New Roman" w:cs="Times New Roman"/>
        </w:rPr>
        <w:t>1</w:t>
      </w:r>
      <w:r w:rsidRPr="00BD3E65">
        <w:rPr>
          <w:rFonts w:ascii="Times New Roman" w:hAnsi="Times New Roman" w:cs="Times New Roman"/>
        </w:rPr>
        <w:t xml:space="preserve">  </w:t>
      </w:r>
      <w:r>
        <w:rPr>
          <w:rFonts w:ascii="Times New Roman" w:hAnsi="Times New Roman" w:cs="Times New Roman"/>
        </w:rPr>
        <w:t xml:space="preserve"> </w:t>
      </w:r>
      <w:r w:rsidRPr="00BD3E65">
        <w:rPr>
          <w:rFonts w:ascii="Times New Roman" w:hAnsi="Times New Roman" w:cs="Times New Roman"/>
        </w:rPr>
        <w:t xml:space="preserve">Investors should evaluate both returns and risk-adjusted metrics before selecting mutual </w:t>
      </w:r>
    </w:p>
    <w:p w14:paraId="4D41ACC6" w14:textId="69975766" w:rsidR="00BD3E65" w:rsidRPr="00BD3E65" w:rsidRDefault="00BD3E65" w:rsidP="004B08B1">
      <w:pPr>
        <w:rPr>
          <w:rFonts w:ascii="Times New Roman" w:hAnsi="Times New Roman" w:cs="Times New Roman"/>
        </w:rPr>
      </w:pPr>
      <w:r>
        <w:rPr>
          <w:rFonts w:ascii="Times New Roman" w:hAnsi="Times New Roman" w:cs="Times New Roman"/>
        </w:rPr>
        <w:t xml:space="preserve">     </w:t>
      </w:r>
      <w:r w:rsidRPr="00BD3E65">
        <w:rPr>
          <w:rFonts w:ascii="Times New Roman" w:hAnsi="Times New Roman" w:cs="Times New Roman"/>
        </w:rPr>
        <w:t xml:space="preserve">funds. </w:t>
      </w:r>
    </w:p>
    <w:p w14:paraId="6B8E0A02" w14:textId="5E170379" w:rsidR="00BD3E65" w:rsidRPr="00BD3E65" w:rsidRDefault="00BD3E65" w:rsidP="004B08B1">
      <w:pPr>
        <w:rPr>
          <w:rFonts w:ascii="Times New Roman" w:hAnsi="Times New Roman" w:cs="Times New Roman"/>
        </w:rPr>
      </w:pPr>
      <w:r w:rsidRPr="00BD3E65">
        <w:rPr>
          <w:rFonts w:ascii="Times New Roman" w:hAnsi="Times New Roman" w:cs="Times New Roman"/>
        </w:rPr>
        <w:t>2</w:t>
      </w:r>
      <w:r w:rsidRPr="00BD3E65">
        <w:rPr>
          <w:rFonts w:ascii="Times New Roman" w:hAnsi="Times New Roman" w:cs="Times New Roman"/>
        </w:rPr>
        <w:t xml:space="preserve"> </w:t>
      </w:r>
      <w:r>
        <w:rPr>
          <w:rFonts w:ascii="Times New Roman" w:hAnsi="Times New Roman" w:cs="Times New Roman"/>
        </w:rPr>
        <w:t xml:space="preserve"> </w:t>
      </w:r>
      <w:r w:rsidRPr="00BD3E65">
        <w:rPr>
          <w:rFonts w:ascii="Times New Roman" w:hAnsi="Times New Roman" w:cs="Times New Roman"/>
        </w:rPr>
        <w:t xml:space="preserve"> SIP investments should be encouraged as a long-term wealth creation strategy. </w:t>
      </w:r>
    </w:p>
    <w:p w14:paraId="4322E603" w14:textId="33ED175E" w:rsidR="00BD3E65" w:rsidRPr="00BD3E65" w:rsidRDefault="00BD3E65" w:rsidP="004B08B1">
      <w:pPr>
        <w:rPr>
          <w:rFonts w:ascii="Times New Roman" w:hAnsi="Times New Roman" w:cs="Times New Roman"/>
        </w:rPr>
      </w:pPr>
      <w:r w:rsidRPr="00BD3E65">
        <w:rPr>
          <w:rFonts w:ascii="Times New Roman" w:hAnsi="Times New Roman" w:cs="Times New Roman"/>
        </w:rPr>
        <w:t>3</w:t>
      </w:r>
      <w:r w:rsidRPr="00BD3E65">
        <w:rPr>
          <w:rFonts w:ascii="Times New Roman" w:hAnsi="Times New Roman" w:cs="Times New Roman"/>
        </w:rPr>
        <w:t xml:space="preserve"> </w:t>
      </w:r>
      <w:r>
        <w:rPr>
          <w:rFonts w:ascii="Times New Roman" w:hAnsi="Times New Roman" w:cs="Times New Roman"/>
        </w:rPr>
        <w:t xml:space="preserve"> </w:t>
      </w:r>
      <w:r w:rsidRPr="00BD3E65">
        <w:rPr>
          <w:rFonts w:ascii="Times New Roman" w:hAnsi="Times New Roman" w:cs="Times New Roman"/>
        </w:rPr>
        <w:t xml:space="preserve"> Portfolio diversification should be maintained to reduce concentration risk. </w:t>
      </w:r>
    </w:p>
    <w:p w14:paraId="2CDEE186" w14:textId="29A645E5" w:rsidR="00BD3E65" w:rsidRPr="00BD3E65" w:rsidRDefault="00BD3E65" w:rsidP="004B08B1">
      <w:pPr>
        <w:rPr>
          <w:rFonts w:ascii="Times New Roman" w:hAnsi="Times New Roman" w:cs="Times New Roman"/>
        </w:rPr>
      </w:pPr>
      <w:r w:rsidRPr="00BD3E65">
        <w:rPr>
          <w:rFonts w:ascii="Times New Roman" w:hAnsi="Times New Roman" w:cs="Times New Roman"/>
        </w:rPr>
        <w:t>4</w:t>
      </w:r>
      <w:r w:rsidRPr="00BD3E65">
        <w:rPr>
          <w:rFonts w:ascii="Times New Roman" w:hAnsi="Times New Roman" w:cs="Times New Roman"/>
        </w:rPr>
        <w:t xml:space="preserve">  </w:t>
      </w:r>
      <w:r>
        <w:rPr>
          <w:rFonts w:ascii="Times New Roman" w:hAnsi="Times New Roman" w:cs="Times New Roman"/>
        </w:rPr>
        <w:t xml:space="preserve"> </w:t>
      </w:r>
      <w:r w:rsidRPr="00BD3E65">
        <w:rPr>
          <w:rFonts w:ascii="Times New Roman" w:hAnsi="Times New Roman" w:cs="Times New Roman"/>
        </w:rPr>
        <w:t xml:space="preserve">Fund houses should monitor SIP continuity and investor retention metrics. </w:t>
      </w:r>
    </w:p>
    <w:p w14:paraId="5B440CD4" w14:textId="77777777" w:rsidR="00BD3E65" w:rsidRDefault="00BD3E65" w:rsidP="004B08B1">
      <w:pPr>
        <w:rPr>
          <w:rFonts w:ascii="Times New Roman" w:hAnsi="Times New Roman" w:cs="Times New Roman"/>
        </w:rPr>
      </w:pPr>
      <w:r w:rsidRPr="00BD3E65">
        <w:rPr>
          <w:rFonts w:ascii="Times New Roman" w:hAnsi="Times New Roman" w:cs="Times New Roman"/>
        </w:rPr>
        <w:t>5</w:t>
      </w:r>
      <w:r w:rsidRPr="00BD3E65">
        <w:rPr>
          <w:rFonts w:ascii="Times New Roman" w:hAnsi="Times New Roman" w:cs="Times New Roman"/>
        </w:rPr>
        <w:t xml:space="preserve">  </w:t>
      </w:r>
      <w:r>
        <w:rPr>
          <w:rFonts w:ascii="Times New Roman" w:hAnsi="Times New Roman" w:cs="Times New Roman"/>
        </w:rPr>
        <w:t xml:space="preserve"> </w:t>
      </w:r>
      <w:r w:rsidRPr="00BD3E65">
        <w:rPr>
          <w:rFonts w:ascii="Times New Roman" w:hAnsi="Times New Roman" w:cs="Times New Roman"/>
        </w:rPr>
        <w:t xml:space="preserve">Future enhancements may include machine learning-based fund recommendation systems </w:t>
      </w:r>
    </w:p>
    <w:p w14:paraId="352C8971" w14:textId="36BD2758" w:rsidR="004B08B1" w:rsidRPr="00730F5C" w:rsidRDefault="00BD3E65" w:rsidP="004B08B1">
      <w:pPr>
        <w:rPr>
          <w:rFonts w:ascii="Times New Roman" w:hAnsi="Times New Roman" w:cs="Times New Roman"/>
        </w:rPr>
      </w:pPr>
      <w:r>
        <w:rPr>
          <w:rFonts w:ascii="Times New Roman" w:hAnsi="Times New Roman" w:cs="Times New Roman"/>
        </w:rPr>
        <w:t xml:space="preserve">      </w:t>
      </w:r>
      <w:r w:rsidRPr="00BD3E65">
        <w:rPr>
          <w:rFonts w:ascii="Times New Roman" w:hAnsi="Times New Roman" w:cs="Times New Roman"/>
        </w:rPr>
        <w:t>and predictive analytics models.</w:t>
      </w:r>
      <w:r w:rsidR="004B08B1">
        <w:rPr>
          <w:rFonts w:ascii="Times New Roman" w:hAnsi="Times New Roman" w:cs="Times New Roman"/>
          <w:b/>
          <w:bCs/>
          <w:sz w:val="32"/>
          <w:szCs w:val="32"/>
        </w:rPr>
        <w:t xml:space="preserve">  </w:t>
      </w:r>
    </w:p>
    <w:p w14:paraId="4F13EA6B" w14:textId="6DCB63AC" w:rsidR="00E77AAA" w:rsidRDefault="004B08B1" w:rsidP="004B08B1">
      <w:pPr>
        <w:rPr>
          <w:rFonts w:ascii="Times New Roman" w:hAnsi="Times New Roman" w:cs="Times New Roman"/>
          <w:b/>
          <w:bCs/>
          <w:sz w:val="32"/>
          <w:szCs w:val="32"/>
        </w:rPr>
      </w:pPr>
      <w:r>
        <w:rPr>
          <w:rFonts w:ascii="Times New Roman" w:hAnsi="Times New Roman" w:cs="Times New Roman"/>
          <w:b/>
          <w:bCs/>
          <w:sz w:val="32"/>
          <w:szCs w:val="32"/>
        </w:rPr>
        <w:t xml:space="preserve">                                            </w:t>
      </w:r>
      <w:r w:rsidR="00E77AAA" w:rsidRPr="00BD3E65">
        <w:rPr>
          <w:rFonts w:ascii="Times New Roman" w:hAnsi="Times New Roman" w:cs="Times New Roman"/>
          <w:b/>
          <w:bCs/>
          <w:sz w:val="32"/>
          <w:szCs w:val="32"/>
        </w:rPr>
        <w:t>Conclusion</w:t>
      </w:r>
    </w:p>
    <w:p w14:paraId="6909A822" w14:textId="77777777" w:rsidR="004B08B1" w:rsidRPr="004B08B1" w:rsidRDefault="004B08B1" w:rsidP="004B08B1">
      <w:pPr>
        <w:rPr>
          <w:rFonts w:ascii="Times New Roman" w:hAnsi="Times New Roman" w:cs="Times New Roman"/>
        </w:rPr>
      </w:pPr>
      <w:r w:rsidRPr="004B08B1">
        <w:rPr>
          <w:rFonts w:ascii="Times New Roman" w:hAnsi="Times New Roman" w:cs="Times New Roman"/>
        </w:rPr>
        <w:t>The Bluestock Mutual Fund Analytics Capstone successfully developed an end-to-end analytics platform for mutual fund analysis using Python, SQLite, and Power BI.</w:t>
      </w:r>
    </w:p>
    <w:p w14:paraId="32841671" w14:textId="77777777" w:rsidR="004B08B1" w:rsidRPr="004B08B1" w:rsidRDefault="004B08B1" w:rsidP="004B08B1">
      <w:pPr>
        <w:rPr>
          <w:rFonts w:ascii="Times New Roman" w:hAnsi="Times New Roman" w:cs="Times New Roman"/>
        </w:rPr>
      </w:pPr>
      <w:r w:rsidRPr="004B08B1">
        <w:rPr>
          <w:rFonts w:ascii="Times New Roman" w:hAnsi="Times New Roman" w:cs="Times New Roman"/>
        </w:rPr>
        <w:t>The project implemented a complete ETL pipeline, performed extensive exploratory and advanced analytics, developed interactive dashboards, and generated actionable business insights from mutual fund data.</w:t>
      </w:r>
    </w:p>
    <w:p w14:paraId="105DAAB8" w14:textId="603B5302" w:rsidR="004B08B1" w:rsidRPr="004B08B1" w:rsidRDefault="004B08B1" w:rsidP="004B08B1">
      <w:pPr>
        <w:rPr>
          <w:rFonts w:ascii="Times New Roman" w:hAnsi="Times New Roman" w:cs="Times New Roman"/>
        </w:rPr>
      </w:pPr>
      <w:r w:rsidRPr="004B08B1">
        <w:rPr>
          <w:rFonts w:ascii="Times New Roman" w:hAnsi="Times New Roman" w:cs="Times New Roman"/>
        </w:rPr>
        <w:t>Key areas including industry growth, fund performance, investor behavio</w:t>
      </w:r>
      <w:r>
        <w:rPr>
          <w:rFonts w:ascii="Times New Roman" w:hAnsi="Times New Roman" w:cs="Times New Roman"/>
        </w:rPr>
        <w:t>u</w:t>
      </w:r>
      <w:r w:rsidRPr="004B08B1">
        <w:rPr>
          <w:rFonts w:ascii="Times New Roman" w:hAnsi="Times New Roman" w:cs="Times New Roman"/>
        </w:rPr>
        <w:t>r, SIP trends, and risk analytics were analy</w:t>
      </w:r>
      <w:r>
        <w:rPr>
          <w:rFonts w:ascii="Times New Roman" w:hAnsi="Times New Roman" w:cs="Times New Roman"/>
        </w:rPr>
        <w:t>s</w:t>
      </w:r>
      <w:r w:rsidRPr="004B08B1">
        <w:rPr>
          <w:rFonts w:ascii="Times New Roman" w:hAnsi="Times New Roman" w:cs="Times New Roman"/>
        </w:rPr>
        <w:t>ed using modern data engineering and business intelligence techniques.</w:t>
      </w:r>
    </w:p>
    <w:p w14:paraId="741B833F" w14:textId="0B9C908A" w:rsidR="004B08B1" w:rsidRPr="00BD3E65" w:rsidRDefault="004B08B1" w:rsidP="00BD3E65">
      <w:pPr>
        <w:rPr>
          <w:rFonts w:ascii="Times New Roman" w:hAnsi="Times New Roman" w:cs="Times New Roman"/>
          <w:b/>
          <w:bCs/>
          <w:sz w:val="32"/>
          <w:szCs w:val="32"/>
        </w:rPr>
      </w:pPr>
      <w:r w:rsidRPr="004B08B1">
        <w:rPr>
          <w:rFonts w:ascii="Times New Roman" w:hAnsi="Times New Roman" w:cs="Times New Roman"/>
        </w:rPr>
        <w:t>The final solution demonstrates practical applications of data analytics, financial analysis, and dashboard development while providing meaningful insights into the Indian mutual fund industry. The project serves as a strong foundation for future enhancements involving predictive analytics, portfolio optimization, and intelligent investment recommendation systems</w:t>
      </w:r>
    </w:p>
    <w:sectPr w:rsidR="004B08B1" w:rsidRPr="00BD3E65">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8F18" w14:textId="77777777" w:rsidR="00D61029" w:rsidRDefault="00D61029" w:rsidP="00730F5C">
      <w:pPr>
        <w:spacing w:after="0" w:line="240" w:lineRule="auto"/>
      </w:pPr>
      <w:r>
        <w:separator/>
      </w:r>
    </w:p>
  </w:endnote>
  <w:endnote w:type="continuationSeparator" w:id="0">
    <w:p w14:paraId="26737A74" w14:textId="77777777" w:rsidR="00D61029" w:rsidRDefault="00D61029" w:rsidP="00730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EFA8" w14:textId="77777777" w:rsidR="00D61029" w:rsidRDefault="00D61029" w:rsidP="00730F5C">
      <w:pPr>
        <w:spacing w:after="0" w:line="240" w:lineRule="auto"/>
      </w:pPr>
      <w:r>
        <w:separator/>
      </w:r>
    </w:p>
  </w:footnote>
  <w:footnote w:type="continuationSeparator" w:id="0">
    <w:p w14:paraId="441453F4" w14:textId="77777777" w:rsidR="00D61029" w:rsidRDefault="00D61029" w:rsidP="00730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7F60" w14:textId="77777777" w:rsidR="00730F5C" w:rsidRDefault="00730F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A21"/>
    <w:multiLevelType w:val="multilevel"/>
    <w:tmpl w:val="262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C7DEC"/>
    <w:multiLevelType w:val="multilevel"/>
    <w:tmpl w:val="45C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518C"/>
    <w:multiLevelType w:val="multilevel"/>
    <w:tmpl w:val="789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154D"/>
    <w:multiLevelType w:val="multilevel"/>
    <w:tmpl w:val="BA12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A63BF"/>
    <w:multiLevelType w:val="multilevel"/>
    <w:tmpl w:val="E872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C54A0"/>
    <w:multiLevelType w:val="multilevel"/>
    <w:tmpl w:val="86D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D4892"/>
    <w:multiLevelType w:val="multilevel"/>
    <w:tmpl w:val="8B1E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56848"/>
    <w:multiLevelType w:val="multilevel"/>
    <w:tmpl w:val="DB3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D0FF5"/>
    <w:multiLevelType w:val="multilevel"/>
    <w:tmpl w:val="BFF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14583"/>
    <w:multiLevelType w:val="multilevel"/>
    <w:tmpl w:val="D32E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F5541"/>
    <w:multiLevelType w:val="multilevel"/>
    <w:tmpl w:val="D2D2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223AC"/>
    <w:multiLevelType w:val="multilevel"/>
    <w:tmpl w:val="7ED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11E52"/>
    <w:multiLevelType w:val="multilevel"/>
    <w:tmpl w:val="BBB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566BE"/>
    <w:multiLevelType w:val="multilevel"/>
    <w:tmpl w:val="842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C7C8A"/>
    <w:multiLevelType w:val="multilevel"/>
    <w:tmpl w:val="167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65B17"/>
    <w:multiLevelType w:val="multilevel"/>
    <w:tmpl w:val="B26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E5F8F"/>
    <w:multiLevelType w:val="multilevel"/>
    <w:tmpl w:val="797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67BB6"/>
    <w:multiLevelType w:val="multilevel"/>
    <w:tmpl w:val="A72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D3ABF"/>
    <w:multiLevelType w:val="multilevel"/>
    <w:tmpl w:val="E4E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43B80"/>
    <w:multiLevelType w:val="multilevel"/>
    <w:tmpl w:val="B2C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61B9A"/>
    <w:multiLevelType w:val="multilevel"/>
    <w:tmpl w:val="5708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D4277"/>
    <w:multiLevelType w:val="multilevel"/>
    <w:tmpl w:val="3BB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F7812"/>
    <w:multiLevelType w:val="multilevel"/>
    <w:tmpl w:val="54FC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46CCB"/>
    <w:multiLevelType w:val="multilevel"/>
    <w:tmpl w:val="0FE8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D643E"/>
    <w:multiLevelType w:val="multilevel"/>
    <w:tmpl w:val="C1C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7222F"/>
    <w:multiLevelType w:val="multilevel"/>
    <w:tmpl w:val="531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E7FA6"/>
    <w:multiLevelType w:val="multilevel"/>
    <w:tmpl w:val="C03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005B3"/>
    <w:multiLevelType w:val="multilevel"/>
    <w:tmpl w:val="A71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5192D"/>
    <w:multiLevelType w:val="multilevel"/>
    <w:tmpl w:val="213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F08C6"/>
    <w:multiLevelType w:val="multilevel"/>
    <w:tmpl w:val="856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0627A"/>
    <w:multiLevelType w:val="multilevel"/>
    <w:tmpl w:val="669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B32D11"/>
    <w:multiLevelType w:val="multilevel"/>
    <w:tmpl w:val="35E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E196D"/>
    <w:multiLevelType w:val="multilevel"/>
    <w:tmpl w:val="2DF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40C98"/>
    <w:multiLevelType w:val="multilevel"/>
    <w:tmpl w:val="C35C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1690B"/>
    <w:multiLevelType w:val="multilevel"/>
    <w:tmpl w:val="143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A3CFC"/>
    <w:multiLevelType w:val="multilevel"/>
    <w:tmpl w:val="C0B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C7D2F"/>
    <w:multiLevelType w:val="multilevel"/>
    <w:tmpl w:val="7D1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00C8E"/>
    <w:multiLevelType w:val="multilevel"/>
    <w:tmpl w:val="910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506AF"/>
    <w:multiLevelType w:val="multilevel"/>
    <w:tmpl w:val="2D5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1108F"/>
    <w:multiLevelType w:val="multilevel"/>
    <w:tmpl w:val="FD3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06A3C"/>
    <w:multiLevelType w:val="multilevel"/>
    <w:tmpl w:val="7ED0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C0A0B"/>
    <w:multiLevelType w:val="multilevel"/>
    <w:tmpl w:val="01C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C3A5C"/>
    <w:multiLevelType w:val="multilevel"/>
    <w:tmpl w:val="548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4A1E2C"/>
    <w:multiLevelType w:val="multilevel"/>
    <w:tmpl w:val="845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A1B49"/>
    <w:multiLevelType w:val="multilevel"/>
    <w:tmpl w:val="D89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E2B9F"/>
    <w:multiLevelType w:val="multilevel"/>
    <w:tmpl w:val="786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A4B98"/>
    <w:multiLevelType w:val="multilevel"/>
    <w:tmpl w:val="8D04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53EBD"/>
    <w:multiLevelType w:val="multilevel"/>
    <w:tmpl w:val="8BAA71E4"/>
    <w:lvl w:ilvl="0">
      <w:start w:val="1"/>
      <w:numFmt w:val="decimal"/>
      <w:lvlText w:val="%1."/>
      <w:lvlJc w:val="left"/>
      <w:pPr>
        <w:tabs>
          <w:tab w:val="num" w:pos="644"/>
        </w:tabs>
        <w:ind w:left="644"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57100"/>
    <w:multiLevelType w:val="multilevel"/>
    <w:tmpl w:val="D20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190315">
    <w:abstractNumId w:val="47"/>
  </w:num>
  <w:num w:numId="2" w16cid:durableId="234123847">
    <w:abstractNumId w:val="44"/>
  </w:num>
  <w:num w:numId="3" w16cid:durableId="1293287568">
    <w:abstractNumId w:val="16"/>
  </w:num>
  <w:num w:numId="4" w16cid:durableId="1140803017">
    <w:abstractNumId w:val="22"/>
  </w:num>
  <w:num w:numId="5" w16cid:durableId="333076123">
    <w:abstractNumId w:val="14"/>
  </w:num>
  <w:num w:numId="6" w16cid:durableId="8796619">
    <w:abstractNumId w:val="29"/>
  </w:num>
  <w:num w:numId="7" w16cid:durableId="1115518461">
    <w:abstractNumId w:val="38"/>
  </w:num>
  <w:num w:numId="8" w16cid:durableId="588851065">
    <w:abstractNumId w:val="23"/>
  </w:num>
  <w:num w:numId="9" w16cid:durableId="1311448356">
    <w:abstractNumId w:val="45"/>
  </w:num>
  <w:num w:numId="10" w16cid:durableId="20978345">
    <w:abstractNumId w:val="17"/>
  </w:num>
  <w:num w:numId="11" w16cid:durableId="1299913580">
    <w:abstractNumId w:val="46"/>
  </w:num>
  <w:num w:numId="12" w16cid:durableId="1850564840">
    <w:abstractNumId w:val="12"/>
  </w:num>
  <w:num w:numId="13" w16cid:durableId="630985762">
    <w:abstractNumId w:val="21"/>
  </w:num>
  <w:num w:numId="14" w16cid:durableId="6176606">
    <w:abstractNumId w:val="6"/>
  </w:num>
  <w:num w:numId="15" w16cid:durableId="217978065">
    <w:abstractNumId w:val="28"/>
  </w:num>
  <w:num w:numId="16" w16cid:durableId="1171916741">
    <w:abstractNumId w:val="33"/>
  </w:num>
  <w:num w:numId="17" w16cid:durableId="824205772">
    <w:abstractNumId w:val="24"/>
  </w:num>
  <w:num w:numId="18" w16cid:durableId="920871077">
    <w:abstractNumId w:val="19"/>
  </w:num>
  <w:num w:numId="19" w16cid:durableId="2056196762">
    <w:abstractNumId w:val="32"/>
  </w:num>
  <w:num w:numId="20" w16cid:durableId="941300933">
    <w:abstractNumId w:val="27"/>
  </w:num>
  <w:num w:numId="21" w16cid:durableId="1614244014">
    <w:abstractNumId w:val="41"/>
  </w:num>
  <w:num w:numId="22" w16cid:durableId="1031685281">
    <w:abstractNumId w:val="5"/>
  </w:num>
  <w:num w:numId="23" w16cid:durableId="1844006804">
    <w:abstractNumId w:val="8"/>
  </w:num>
  <w:num w:numId="24" w16cid:durableId="1525634483">
    <w:abstractNumId w:val="11"/>
  </w:num>
  <w:num w:numId="25" w16cid:durableId="1100297805">
    <w:abstractNumId w:val="13"/>
  </w:num>
  <w:num w:numId="26" w16cid:durableId="583533092">
    <w:abstractNumId w:val="40"/>
  </w:num>
  <w:num w:numId="27" w16cid:durableId="1363549985">
    <w:abstractNumId w:val="25"/>
  </w:num>
  <w:num w:numId="28" w16cid:durableId="1084185130">
    <w:abstractNumId w:val="35"/>
  </w:num>
  <w:num w:numId="29" w16cid:durableId="900410059">
    <w:abstractNumId w:val="26"/>
  </w:num>
  <w:num w:numId="30" w16cid:durableId="409936366">
    <w:abstractNumId w:val="31"/>
  </w:num>
  <w:num w:numId="31" w16cid:durableId="1174613986">
    <w:abstractNumId w:val="30"/>
  </w:num>
  <w:num w:numId="32" w16cid:durableId="2066487463">
    <w:abstractNumId w:val="34"/>
  </w:num>
  <w:num w:numId="33" w16cid:durableId="515313748">
    <w:abstractNumId w:val="43"/>
  </w:num>
  <w:num w:numId="34" w16cid:durableId="1689062622">
    <w:abstractNumId w:val="3"/>
  </w:num>
  <w:num w:numId="35" w16cid:durableId="762453090">
    <w:abstractNumId w:val="37"/>
  </w:num>
  <w:num w:numId="36" w16cid:durableId="1292907820">
    <w:abstractNumId w:val="0"/>
  </w:num>
  <w:num w:numId="37" w16cid:durableId="1589346060">
    <w:abstractNumId w:val="7"/>
  </w:num>
  <w:num w:numId="38" w16cid:durableId="250745443">
    <w:abstractNumId w:val="2"/>
  </w:num>
  <w:num w:numId="39" w16cid:durableId="95446637">
    <w:abstractNumId w:val="9"/>
  </w:num>
  <w:num w:numId="40" w16cid:durableId="1290823198">
    <w:abstractNumId w:val="18"/>
  </w:num>
  <w:num w:numId="41" w16cid:durableId="856769093">
    <w:abstractNumId w:val="36"/>
  </w:num>
  <w:num w:numId="42" w16cid:durableId="382219924">
    <w:abstractNumId w:val="10"/>
  </w:num>
  <w:num w:numId="43" w16cid:durableId="1088187039">
    <w:abstractNumId w:val="1"/>
  </w:num>
  <w:num w:numId="44" w16cid:durableId="278992452">
    <w:abstractNumId w:val="20"/>
  </w:num>
  <w:num w:numId="45" w16cid:durableId="368065409">
    <w:abstractNumId w:val="48"/>
  </w:num>
  <w:num w:numId="46" w16cid:durableId="104468763">
    <w:abstractNumId w:val="4"/>
  </w:num>
  <w:num w:numId="47" w16cid:durableId="201213995">
    <w:abstractNumId w:val="39"/>
  </w:num>
  <w:num w:numId="48" w16cid:durableId="354578733">
    <w:abstractNumId w:val="42"/>
  </w:num>
  <w:num w:numId="49" w16cid:durableId="1562667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AA"/>
    <w:rsid w:val="00133771"/>
    <w:rsid w:val="001F1602"/>
    <w:rsid w:val="00267002"/>
    <w:rsid w:val="003C3C69"/>
    <w:rsid w:val="004B08B1"/>
    <w:rsid w:val="004C0C25"/>
    <w:rsid w:val="006A0B22"/>
    <w:rsid w:val="00730F5C"/>
    <w:rsid w:val="008B7256"/>
    <w:rsid w:val="00A42D4B"/>
    <w:rsid w:val="00AB71DE"/>
    <w:rsid w:val="00BD3E65"/>
    <w:rsid w:val="00D61029"/>
    <w:rsid w:val="00E77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B42B"/>
  <w15:chartTrackingRefBased/>
  <w15:docId w15:val="{A1422C66-473F-4B1D-B348-89FFFEE4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AAA"/>
    <w:rPr>
      <w:rFonts w:eastAsiaTheme="majorEastAsia" w:cstheme="majorBidi"/>
      <w:color w:val="272727" w:themeColor="text1" w:themeTint="D8"/>
    </w:rPr>
  </w:style>
  <w:style w:type="paragraph" w:styleId="Title">
    <w:name w:val="Title"/>
    <w:basedOn w:val="Normal"/>
    <w:next w:val="Normal"/>
    <w:link w:val="TitleChar"/>
    <w:uiPriority w:val="10"/>
    <w:qFormat/>
    <w:rsid w:val="00E77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AAA"/>
    <w:pPr>
      <w:spacing w:before="160"/>
      <w:jc w:val="center"/>
    </w:pPr>
    <w:rPr>
      <w:i/>
      <w:iCs/>
      <w:color w:val="404040" w:themeColor="text1" w:themeTint="BF"/>
    </w:rPr>
  </w:style>
  <w:style w:type="character" w:customStyle="1" w:styleId="QuoteChar">
    <w:name w:val="Quote Char"/>
    <w:basedOn w:val="DefaultParagraphFont"/>
    <w:link w:val="Quote"/>
    <w:uiPriority w:val="29"/>
    <w:rsid w:val="00E77AAA"/>
    <w:rPr>
      <w:i/>
      <w:iCs/>
      <w:color w:val="404040" w:themeColor="text1" w:themeTint="BF"/>
    </w:rPr>
  </w:style>
  <w:style w:type="paragraph" w:styleId="ListParagraph">
    <w:name w:val="List Paragraph"/>
    <w:basedOn w:val="Normal"/>
    <w:uiPriority w:val="34"/>
    <w:qFormat/>
    <w:rsid w:val="00E77AAA"/>
    <w:pPr>
      <w:ind w:left="720"/>
      <w:contextualSpacing/>
    </w:pPr>
  </w:style>
  <w:style w:type="character" w:styleId="IntenseEmphasis">
    <w:name w:val="Intense Emphasis"/>
    <w:basedOn w:val="DefaultParagraphFont"/>
    <w:uiPriority w:val="21"/>
    <w:qFormat/>
    <w:rsid w:val="00E77AAA"/>
    <w:rPr>
      <w:i/>
      <w:iCs/>
      <w:color w:val="2F5496" w:themeColor="accent1" w:themeShade="BF"/>
    </w:rPr>
  </w:style>
  <w:style w:type="paragraph" w:styleId="IntenseQuote">
    <w:name w:val="Intense Quote"/>
    <w:basedOn w:val="Normal"/>
    <w:next w:val="Normal"/>
    <w:link w:val="IntenseQuoteChar"/>
    <w:uiPriority w:val="30"/>
    <w:qFormat/>
    <w:rsid w:val="00E77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AAA"/>
    <w:rPr>
      <w:i/>
      <w:iCs/>
      <w:color w:val="2F5496" w:themeColor="accent1" w:themeShade="BF"/>
    </w:rPr>
  </w:style>
  <w:style w:type="character" w:styleId="IntenseReference">
    <w:name w:val="Intense Reference"/>
    <w:basedOn w:val="DefaultParagraphFont"/>
    <w:uiPriority w:val="32"/>
    <w:qFormat/>
    <w:rsid w:val="00E77AAA"/>
    <w:rPr>
      <w:b/>
      <w:bCs/>
      <w:smallCaps/>
      <w:color w:val="2F5496" w:themeColor="accent1" w:themeShade="BF"/>
      <w:spacing w:val="5"/>
    </w:rPr>
  </w:style>
  <w:style w:type="paragraph" w:styleId="Header">
    <w:name w:val="header"/>
    <w:basedOn w:val="Normal"/>
    <w:link w:val="HeaderChar"/>
    <w:uiPriority w:val="99"/>
    <w:unhideWhenUsed/>
    <w:rsid w:val="00730F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F5C"/>
  </w:style>
  <w:style w:type="paragraph" w:styleId="Footer">
    <w:name w:val="footer"/>
    <w:basedOn w:val="Normal"/>
    <w:link w:val="FooterChar"/>
    <w:uiPriority w:val="99"/>
    <w:unhideWhenUsed/>
    <w:rsid w:val="00730F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20</Pages>
  <Words>4163</Words>
  <Characters>23730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Lingutla Ranadeep</dc:creator>
  <cp:keywords/>
  <dc:description/>
  <cp:lastModifiedBy>Lingutla Ranadeep</cp:lastModifiedBy>
  <cp:revision>2</cp:revision>
  <dcterms:created xsi:type="dcterms:W3CDTF">2026-06-11T15:47:00Z</dcterms:created>
  <dcterms:modified xsi:type="dcterms:W3CDTF">2026-06-11T17:34:00Z</dcterms:modified>
</cp:coreProperties>
</file>