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rFonts w:ascii="Calibri" w:hAnsi="Calibri" w:eastAsia="微软雅黑"/>
          <w:b/>
          <w:color w:val="1A5276"/>
          <w:sz w:val="52"/>
        </w:rPr>
        <w:t>智流工坊</w:t>
      </w:r>
    </w:p>
    <w:p>
      <w:pPr>
        <w:spacing w:before="0" w:after="400"/>
        <w:jc w:val="center"/>
      </w:pPr>
      <w:r>
        <w:rPr>
          <w:rFonts w:ascii="Calibri" w:hAnsi="Calibri" w:eastAsia="微软雅黑"/>
          <w:color w:val="666666"/>
          <w:sz w:val="26"/>
        </w:rPr>
        <w:t>Smart Flow Workshop — 实时数据流处理平台项目介绍</w:t>
      </w:r>
    </w:p>
    <w:p>
      <w:pPr>
        <w:spacing w:before="600" w:after="80"/>
        <w:jc w:val="center"/>
      </w:pPr>
      <w:r>
        <w:rPr>
          <w:rFonts w:ascii="Calibri" w:hAnsi="Calibri" w:eastAsia="微软雅黑"/>
          <w:color w:val="999999"/>
          <w:sz w:val="20"/>
        </w:rPr>
        <w:t>版本：v1.0　　日期：2026-08-16</w:t>
      </w:r>
    </w:p>
    <w:p>
      <w:pPr>
        <w:spacing w:before="120" w:after="120"/>
        <w:pBdr>
          <w:bottom w:val="single" w:sz="6" w:space="1" w:color="D5D8DC"/>
        </w:pBdr>
      </w:pPr>
    </w:p>
    <w:p>
      <w:pPr>
        <w:pStyle w:val="Heading1"/>
      </w:pPr>
      <w:r>
        <w:t>1　项目概述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智流工坊（Smart Flow Workshop）是一个面向数据工程团队的实时数据流处理平台。平台提供可视化的作业编排界面，支持从多种数据源（文件、数据库、消息队列）采集数据，经过灵活的转换处理后写入目标存储，同时集成 AI 辅助能力，帮助用户快速构建数据管道。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平台的核心设计理念：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低门槛：通过拖拽式画布编排数据流，无需手写代码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全链路：覆盖数据采集、转换、存储、监控的完整生命周期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智能化：内置 AI 助手，根据自然语言描述自动生成作业编排方案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可扩展：基于插件架构的转换算子，支持自定义扩展</w:t>
      </w:r>
    </w:p>
    <w:p>
      <w:pPr>
        <w:pStyle w:val="Heading1"/>
      </w:pPr>
      <w:r>
        <w:t>2　系统架构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平台采用前后端分离的微服务架构，由三大核心模块组成：前端交互层、后端服务层、流处理引擎层。基础设施通过 Docker Compose 统一编排，包含 MySQL、Redis、Kafka、Flink 等组件。</w:t>
      </w:r>
    </w:p>
    <w:p>
      <w:pPr>
        <w:pStyle w:val="Heading2"/>
      </w:pPr>
      <w:r>
        <w:t>2.1　架构总览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68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技术栈</w:t>
            </w:r>
          </w:p>
        </w:tc>
        <w:tc>
          <w:tcPr>
            <w:tcW w:type="dxa" w:w="432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前端交互层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Vue 3 + Vite + Vue Flow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用户界面、可视化画布、API 调用</w:t>
            </w:r>
          </w:p>
        </w:tc>
      </w:tr>
      <w:tr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后端服务层</w:t>
            </w:r>
          </w:p>
        </w:tc>
        <w:tc>
          <w:tcPr>
            <w:tcW w:type="dxa" w:w="316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Spring Boot 3.4 + Java 17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业务逻辑、认证授权、文件处理、AI 集成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流处理引擎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Apache Flink 1.14/1.20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实时数据流执行、Kafka 消费、状态管理</w:t>
            </w:r>
          </w:p>
        </w:tc>
      </w:tr>
      <w:tr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数据存储</w:t>
            </w:r>
          </w:p>
        </w:tc>
        <w:tc>
          <w:tcPr>
            <w:tcW w:type="dxa" w:w="316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MySQL 8.4 + Redis 7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持久化存储、缓存与会话管理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消息中间件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Apache Kafka 3.8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异步消息传递、数据流接入</w:t>
            </w:r>
          </w:p>
        </w:tc>
      </w:tr>
    </w:tbl>
    <w:p/>
    <w:p>
      <w:pPr>
        <w:pStyle w:val="Heading2"/>
      </w:pPr>
      <w:r>
        <w:t>2.2　部署架构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开发与测试环境通过 docker-compose.yml 一键部署，包含以下容器服务：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8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镜像</w:t>
            </w:r>
          </w:p>
        </w:tc>
        <w:tc>
          <w:tcPr>
            <w:tcW w:type="dxa" w:w="187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端口映射</w:t>
            </w:r>
          </w:p>
        </w:tc>
        <w:tc>
          <w:tcPr>
            <w:tcW w:type="dxa" w:w="28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20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mysql:8.4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3307 → 3306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主数据库，存储任务、用户、文件元数据</w:t>
            </w:r>
          </w:p>
        </w:tc>
      </w:tr>
      <w:tr>
        <w:tc>
          <w:tcPr>
            <w:tcW w:type="dxa" w:w="172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Redis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redis:7-alpine</w:t>
            </w:r>
          </w:p>
        </w:tc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6379 → 6379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缓存与 Token 存储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20"/>
              </w:rPr>
              <w:t>Kafka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apache/kafka:3.8.1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9092 → 9092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消息队列，数据流接入点</w:t>
            </w:r>
          </w:p>
        </w:tc>
      </w:tr>
      <w:tr>
        <w:tc>
          <w:tcPr>
            <w:tcW w:type="dxa" w:w="172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JobManager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flink:1.20-java17</w:t>
            </w:r>
          </w:p>
        </w:tc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8081 → 8081</w:t>
            </w:r>
          </w:p>
        </w:tc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Flink 作业管理节点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sz w:val="20"/>
              </w:rPr>
              <w:t>TaskManager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flink:1.20-java17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Flink 任务执行节点</w:t>
            </w:r>
          </w:p>
        </w:tc>
      </w:tr>
    </w:tbl>
    <w:p/>
    <w:p>
      <w:pPr>
        <w:pStyle w:val="Heading1"/>
      </w:pPr>
      <w:r>
        <w:t>3　前端模块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前端采用 Vue 3 Composition API 构建，使用 Vite 作为开发与构建工具。核心特色是基于 Vue Flow 的可视化作业编排画布，支持拖拽节点、连线、配置参数。</w:t>
      </w:r>
    </w:p>
    <w:p>
      <w:pPr>
        <w:pStyle w:val="Heading2"/>
      </w:pPr>
      <w:r>
        <w:t>3.1　技术栈详情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87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5328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Vue 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3.5.13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20"/>
              </w:rPr>
              <w:t>响应式 UI 框架，Composition API</w:t>
            </w:r>
          </w:p>
        </w:tc>
      </w:tr>
      <w:tr>
        <w:tc>
          <w:tcPr>
            <w:tcW w:type="dxa" w:w="216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Vite</w:t>
            </w:r>
          </w:p>
        </w:tc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6.0.5</w:t>
            </w:r>
          </w:p>
        </w:tc>
        <w:tc>
          <w:tcPr>
            <w:tcW w:type="dxa" w:w="532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开发服务器与生产构建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Vue Flow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1.48.2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20"/>
              </w:rPr>
              <w:t>基于 React Flow 的可视化流程编辑器</w:t>
            </w:r>
          </w:p>
        </w:tc>
      </w:tr>
      <w:tr>
        <w:tc>
          <w:tcPr>
            <w:tcW w:type="dxa" w:w="216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D3.js</w:t>
            </w:r>
          </w:p>
        </w:tc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(间接依赖)</w:t>
            </w:r>
          </w:p>
        </w:tc>
        <w:tc>
          <w:tcPr>
            <w:tcW w:type="dxa" w:w="532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画布缩放、拖拽等底层交互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Fetch API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原生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sz w:val="20"/>
              </w:rPr>
              <w:t>HTTP 请求，Token 认证</w:t>
            </w:r>
          </w:p>
        </w:tc>
      </w:tr>
    </w:tbl>
    <w:p/>
    <w:p>
      <w:pPr>
        <w:pStyle w:val="Heading2"/>
      </w:pPr>
      <w:r>
        <w:t>3.2　页面与组件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64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App.vue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主布局框架，侧栏导航，页面路由，概览仪表盘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LoginPage.vue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登录页面，品牌展示，动态背景灯效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FlowEditor.vue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可视化作业编排画布，节点拖拽与连线，AI 辅助生成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TaskTable.vue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任务列表管理，状态筛选，批量操作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UserManage.vue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用户管理（管理员功能），角色分配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api.js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统一 API 封装，Token 管理，错误处理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style.css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全局样式，深色玻璃质感主题，青蓝发光体系</w:t>
            </w:r>
          </w:p>
        </w:tc>
      </w:tr>
    </w:tbl>
    <w:p/>
    <w:p>
      <w:pPr>
        <w:pStyle w:val="Heading2"/>
      </w:pPr>
      <w:r>
        <w:t>3.3　角色与权限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平台实现基于角色的访问控制（RBAC），支持四种角色：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64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可访问页面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SADMIN（超级管理员）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全部页面，含用户管理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ADMIN（管理员）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全部页面，含用户管理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USER（普通用户）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概览、任务管理、作业编排、数据工作区、运行日志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OPS_READONLY（运维只读）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概览、任务管理、数据工作区、Flink 作业、运行日志</w:t>
            </w:r>
          </w:p>
        </w:tc>
      </w:tr>
    </w:tbl>
    <w:p/>
    <w:p>
      <w:pPr>
        <w:pStyle w:val="Heading1"/>
      </w:pPr>
      <w:r>
        <w:t>4　后端模块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后端基于 Spring Boot 3.4 构建，采用分层架构：Controller → Service → Repository。提供 RESTful API 供前端调用，同时集成 Kafka、Redis、Flink 等中间件。</w:t>
      </w:r>
    </w:p>
    <w:p>
      <w:pPr>
        <w:pStyle w:val="Heading2"/>
      </w:pPr>
      <w:r>
        <w:t>4.1　技术栈详情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87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608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Spring Boot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3.4.1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20"/>
              </w:rPr>
              <w:t>Web 框架、自动配置、依赖注入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Spring Data JPA</w:t>
            </w:r>
          </w:p>
        </w:tc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(Boot 内置)</w:t>
            </w:r>
          </w:p>
        </w:tc>
        <w:tc>
          <w:tcPr>
            <w:tcW w:type="dxa" w:w="460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ORM 持久化，支持 MySQL 与 H2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Spring Security Crypto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(Boot 内置)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20"/>
              </w:rPr>
              <w:t>密码加密、Token 认证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Spring Data Redis</w:t>
            </w:r>
          </w:p>
        </w:tc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(Boot 内置)</w:t>
            </w:r>
          </w:p>
        </w:tc>
        <w:tc>
          <w:tcPr>
            <w:tcW w:type="dxa" w:w="460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Redis 缓存集成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Spring Kafka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(Boot 内置)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20"/>
              </w:rPr>
              <w:t>Kafka 生产者/消费者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Apache POI</w:t>
            </w:r>
          </w:p>
        </w:tc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5.3.0</w:t>
            </w:r>
          </w:p>
        </w:tc>
        <w:tc>
          <w:tcPr>
            <w:tcW w:type="dxa" w:w="460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Excel 文件读写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Apache Commons CSV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1.12.0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20"/>
              </w:rPr>
              <w:t>CSV 文件解析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Jackson</w:t>
            </w:r>
          </w:p>
        </w:tc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(Boot 内置)</w:t>
            </w:r>
          </w:p>
        </w:tc>
        <w:tc>
          <w:tcPr>
            <w:tcW w:type="dxa" w:w="460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JSON 序列化/反序列化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MySQL Connector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5.1.49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sz w:val="20"/>
              </w:rPr>
              <w:t>MySQL 数据库驱动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H2 Database</w:t>
            </w:r>
          </w:p>
        </w:tc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(Boot 内置)</w:t>
            </w:r>
          </w:p>
        </w:tc>
        <w:tc>
          <w:tcPr>
            <w:tcW w:type="dxa" w:w="460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嵌入式数据库（开发/测试）</w:t>
            </w:r>
          </w:p>
        </w:tc>
      </w:tr>
    </w:tbl>
    <w:p/>
    <w:p>
      <w:pPr>
        <w:pStyle w:val="Heading2"/>
      </w:pPr>
      <w:r>
        <w:t>4.2　包结构与功能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包名</w:t>
            </w:r>
          </w:p>
        </w:tc>
        <w:tc>
          <w:tcPr>
            <w:tcW w:type="dxa" w:w="360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888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关键类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auth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20"/>
              </w:rPr>
              <w:t>认证授权、用户管理、Token 管理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20"/>
              </w:rPr>
              <w:t>AuthController, AuthService, UserEntity</w:t>
            </w:r>
          </w:p>
        </w:tc>
      </w:tr>
      <w:tr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task</w:t>
            </w:r>
          </w:p>
        </w:tc>
        <w:tc>
          <w:tcPr>
            <w:tcW w:type="dxa" w:w="360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任务 CRUD、执行调度、状态管理</w:t>
            </w:r>
          </w:p>
        </w:tc>
        <w:tc>
          <w:tcPr>
            <w:tcW w:type="dxa" w:w="388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TaskController, TaskService, TaskEntity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engine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20"/>
              </w:rPr>
              <w:t>数据流执行引擎、转换插件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20"/>
              </w:rPr>
              <w:t>TaskExecutionEngine, TransformPluginRegistry</w:t>
            </w:r>
          </w:p>
        </w:tc>
      </w:tr>
      <w:tr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engine.transform</w:t>
            </w:r>
          </w:p>
        </w:tc>
        <w:tc>
          <w:tcPr>
            <w:tcW w:type="dxa" w:w="360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转换算子插件接口与上下文</w:t>
            </w:r>
          </w:p>
        </w:tc>
        <w:tc>
          <w:tcPr>
            <w:tcW w:type="dxa" w:w="388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TransformPlugin, TransformContext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file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20"/>
              </w:rPr>
              <w:t>文件上传、解析、存储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20"/>
              </w:rPr>
              <w:t>FileController, FileParserService, StoredFile</w:t>
            </w:r>
          </w:p>
        </w:tc>
      </w:tr>
      <w:tr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flink</w:t>
            </w:r>
          </w:p>
        </w:tc>
        <w:tc>
          <w:tcPr>
            <w:tcW w:type="dxa" w:w="360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Flink 作业提交与管理</w:t>
            </w:r>
          </w:p>
        </w:tc>
        <w:tc>
          <w:tcPr>
            <w:tcW w:type="dxa" w:w="388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FlinkController, FlinkTaskService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ai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20"/>
              </w:rPr>
              <w:t>AI 辅助服务集成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20"/>
              </w:rPr>
              <w:t>AiAssistController, AiAssistService</w:t>
            </w:r>
          </w:p>
        </w:tc>
      </w:tr>
      <w:tr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feedback</w:t>
            </w:r>
          </w:p>
        </w:tc>
        <w:tc>
          <w:tcPr>
            <w:tcW w:type="dxa" w:w="360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用户反馈收集</w:t>
            </w:r>
          </w:p>
        </w:tc>
        <w:tc>
          <w:tcPr>
            <w:tcW w:type="dxa" w:w="388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FeedbackEntity, FeedbackRepository</w:t>
            </w:r>
          </w:p>
        </w:tc>
      </w:tr>
    </w:tbl>
    <w:p/>
    <w:p>
      <w:pPr>
        <w:pStyle w:val="Heading2"/>
      </w:pPr>
      <w:r>
        <w:t>4.3　转换插件体系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引擎采用插件化架构，通过 TransformPlugin 接口实现可扩展的数据转换能力。每个插件接收 TransformContext，返回 TransformResult，支持链式组合。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插件类</w:t>
            </w:r>
          </w:p>
        </w:tc>
        <w:tc>
          <w:tcPr>
            <w:tcW w:type="dxa" w:w="216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888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20"/>
              </w:rPr>
              <w:t>FieldMapTransformPlugin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字段映射与重命名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20"/>
              </w:rPr>
              <w:t>将源字段名映射为目标字段名</w:t>
            </w:r>
          </w:p>
        </w:tc>
      </w:tr>
      <w:tr>
        <w:tc>
          <w:tcPr>
            <w:tcW w:type="dxa" w:w="331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FilterTransformPlugin</w:t>
            </w:r>
          </w:p>
        </w:tc>
        <w:tc>
          <w:tcPr>
            <w:tcW w:type="dxa" w:w="216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条件过滤</w:t>
            </w:r>
          </w:p>
        </w:tc>
        <w:tc>
          <w:tcPr>
            <w:tcW w:type="dxa" w:w="388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按表达式筛选数据行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20"/>
              </w:rPr>
              <w:t>DedupTransformPlugin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数据去重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20"/>
              </w:rPr>
              <w:t>按指定字段去除重复记录</w:t>
            </w:r>
          </w:p>
        </w:tc>
      </w:tr>
      <w:tr>
        <w:tc>
          <w:tcPr>
            <w:tcW w:type="dxa" w:w="331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TypeConvertTransformPlugin</w:t>
            </w:r>
          </w:p>
        </w:tc>
        <w:tc>
          <w:tcPr>
            <w:tcW w:type="dxa" w:w="216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类型转换</w:t>
            </w:r>
          </w:p>
        </w:tc>
        <w:tc>
          <w:tcPr>
            <w:tcW w:type="dxa" w:w="388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字符串转数字、日期格式化等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20"/>
              </w:rPr>
              <w:t>MaskTransformPlugin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数据脱敏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20"/>
              </w:rPr>
              <w:t>手机号、身份证号等敏感字段遮罩</w:t>
            </w:r>
          </w:p>
        </w:tc>
      </w:tr>
      <w:tr>
        <w:tc>
          <w:tcPr>
            <w:tcW w:type="dxa" w:w="331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ConcatTransformPlugin</w:t>
            </w:r>
          </w:p>
        </w:tc>
        <w:tc>
          <w:tcPr>
            <w:tcW w:type="dxa" w:w="216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字段拼接</w:t>
            </w:r>
          </w:p>
        </w:tc>
        <w:tc>
          <w:tcPr>
            <w:tcW w:type="dxa" w:w="388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多个字段合并为新字段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20"/>
              </w:rPr>
              <w:t>XmlJsonTransformPlugin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XML/JSON 互转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sz w:val="20"/>
              </w:rPr>
              <w:t>格式转换适配不同系统</w:t>
            </w:r>
          </w:p>
        </w:tc>
      </w:tr>
    </w:tbl>
    <w:p/>
    <w:p>
      <w:pPr>
        <w:pStyle w:val="Heading1"/>
      </w:pPr>
      <w:r>
        <w:t>5　Flink 流处理模块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Flink 模块负责实际的流处理作业执行。后端通过 Flink REST API 提交 JAR 包，查询作业状态并发送取消请求；Checkpoint、吞吐量和详细异常信息以 Flink Dashboard 为准。</w:t>
      </w:r>
    </w:p>
    <w:p>
      <w:pPr>
        <w:pStyle w:val="Heading2"/>
      </w:pPr>
      <w:r>
        <w:t>5.1　技术栈详情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60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59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Apache Flink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20"/>
              </w:rPr>
              <w:t>1.14.6（编译）/ 1.20（运行时）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20"/>
              </w:rPr>
              <w:t>流处理引擎</w:t>
            </w:r>
          </w:p>
        </w:tc>
      </w:tr>
      <w:tr>
        <w:tc>
          <w:tcPr>
            <w:tcW w:type="dxa" w:w="316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Flink Kafka Connector</w:t>
            </w:r>
          </w:p>
        </w:tc>
        <w:tc>
          <w:tcPr>
            <w:tcW w:type="dxa" w:w="360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1.14.6</w:t>
            </w:r>
          </w:p>
        </w:tc>
        <w:tc>
          <w:tcPr>
            <w:tcW w:type="dxa" w:w="259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Kafka Source/Sink 接入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MySQL Connector/J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20"/>
              </w:rPr>
              <w:t>8.3.0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20"/>
              </w:rPr>
              <w:t>JDBC 数据源接入</w:t>
            </w:r>
          </w:p>
        </w:tc>
      </w:tr>
      <w:tr>
        <w:tc>
          <w:tcPr>
            <w:tcW w:type="dxa" w:w="3168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Jackson Databind</w:t>
            </w:r>
          </w:p>
        </w:tc>
        <w:tc>
          <w:tcPr>
            <w:tcW w:type="dxa" w:w="360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2.17.0</w:t>
            </w:r>
          </w:p>
        </w:tc>
        <w:tc>
          <w:tcPr>
            <w:tcW w:type="dxa" w:w="259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数据序列化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sz w:val="20"/>
              </w:rPr>
              <w:t>Maven Shade Plugin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20"/>
              </w:rPr>
              <w:t>3.5.1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微软雅黑"/>
                <w:sz w:val="20"/>
              </w:rPr>
              <w:t>Fat JAR 打包</w:t>
            </w:r>
          </w:p>
        </w:tc>
      </w:tr>
    </w:tbl>
    <w:p/>
    <w:p>
      <w:pPr>
        <w:pStyle w:val="Heading2"/>
      </w:pPr>
      <w:r>
        <w:t>5.2　当前动态管道实现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Flink 作业由后端生成配置并提交给 DynamicPipelineJob 执行：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Source：Kafka 与 MySQL、OceanBase、PostgreSQL、Oracle 等 JDBC 数据源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Transform：字段映射、条件过滤、类型转换、字段拼接和去重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Sink：Kafka 与外部 JDBC 数据库；文件和 Redis 节点当前回退到 MySQL 配置</w:t>
      </w:r>
    </w:p>
    <w:p>
      <w:pPr>
        <w:pStyle w:val="Heading1"/>
      </w:pPr>
      <w:r>
        <w:t>6　数据源与数据目标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平台支持多种数据源和数据目标的接入与写出：</w:t>
      </w:r>
    </w:p>
    <w:p>
      <w:pPr>
        <w:pStyle w:val="Heading2"/>
      </w:pPr>
      <w:r>
        <w:t>6.1　数据源（Source）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31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176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技术实现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JSON 文件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20"/>
              </w:rPr>
              <w:t>读取 JSON 格式数据文件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20"/>
              </w:rPr>
              <w:t>FileParserService + Jackson</w:t>
            </w:r>
          </w:p>
        </w:tc>
      </w:tr>
      <w:tr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CSV 文件</w:t>
            </w:r>
          </w:p>
        </w:tc>
        <w:tc>
          <w:tcPr>
            <w:tcW w:type="dxa" w:w="331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读取 CSV 格式数据文件</w:t>
            </w:r>
          </w:p>
        </w:tc>
        <w:tc>
          <w:tcPr>
            <w:tcW w:type="dxa" w:w="4176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FileParserService + Commons CSV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Excel 文件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20"/>
              </w:rPr>
              <w:t>读取 .xlsx/.xls 文件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20"/>
              </w:rPr>
              <w:t>FileParserService + Apache POI</w:t>
            </w:r>
          </w:p>
        </w:tc>
      </w:tr>
      <w:tr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MySQL 表</w:t>
            </w:r>
          </w:p>
        </w:tc>
        <w:tc>
          <w:tcPr>
            <w:tcW w:type="dxa" w:w="331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从 MySQL 数据库读取</w:t>
            </w:r>
          </w:p>
        </w:tc>
        <w:tc>
          <w:tcPr>
            <w:tcW w:type="dxa" w:w="4176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Spring Data JPA / JDBC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Kafka 消息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20"/>
              </w:rPr>
              <w:t>消费 Kafka Topic 消息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20"/>
              </w:rPr>
              <w:t>KafkaSourceService + Spring Kafka</w:t>
            </w:r>
          </w:p>
        </w:tc>
      </w:tr>
    </w:tbl>
    <w:p/>
    <w:p>
      <w:pPr>
        <w:pStyle w:val="Heading2"/>
      </w:pPr>
      <w:r>
        <w:t>6.2　数据目标（Sink）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312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176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技术实现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MySQL 表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20"/>
              </w:rPr>
              <w:t>写入 MySQL 数据库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20"/>
              </w:rPr>
              <w:t>DynamicTableService + JPA</w:t>
            </w:r>
          </w:p>
        </w:tc>
      </w:tr>
      <w:tr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Redis</w:t>
            </w:r>
          </w:p>
        </w:tc>
        <w:tc>
          <w:tcPr>
            <w:tcW w:type="dxa" w:w="331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写入 Redis 缓存</w:t>
            </w:r>
          </w:p>
        </w:tc>
        <w:tc>
          <w:tcPr>
            <w:tcW w:type="dxa" w:w="4176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RedisSinkService + Spring Data Redis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20"/>
              </w:rPr>
              <w:t>Kafka Topic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sz w:val="20"/>
              </w:rPr>
              <w:t>发布到 Kafka Topic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20"/>
              </w:rPr>
              <w:t>KafkaSinkService + Spring Kafka</w:t>
            </w:r>
          </w:p>
        </w:tc>
      </w:tr>
      <w:tr>
        <w:tc>
          <w:tcPr>
            <w:tcW w:type="dxa" w:w="187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文件导出</w:t>
            </w:r>
          </w:p>
        </w:tc>
        <w:tc>
          <w:tcPr>
            <w:tcW w:type="dxa" w:w="3312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导出为 CSV/Excel 文件</w:t>
            </w:r>
          </w:p>
        </w:tc>
        <w:tc>
          <w:tcPr>
            <w:tcW w:type="dxa" w:w="4176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ExportService + POI/Commons CSV</w:t>
            </w:r>
          </w:p>
        </w:tc>
      </w:tr>
    </w:tbl>
    <w:p/>
    <w:p>
      <w:pPr>
        <w:pStyle w:val="Heading1"/>
      </w:pPr>
      <w:r>
        <w:t>7　AI 辅助功能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平台集成 AI 辅助能力，基于阿里云百炼（DashScope）大模型服务，默认使用 qwen-plus 模型。AI 助手可以：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根据自然语言描述生成作业编排方案（如"读取 CSV，过滤金额大于 1000，脱敏后写入 MySQL"）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分析当前页面上下文，提供操作建议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支持图片和文件附件作为上下文输入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AI 集成的关键设计：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安全约束：AI 仅提供建议，不允许直接操作任务或修改数据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可配置：通过环境变量 DASHSCOPE_API_KEY 或 A22_AI_API_KEY 配置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多页面可用：任务管理、作业编排、运行日志、数据工作区、Flink 作业页面均可唤起 AI</w:t>
      </w:r>
    </w:p>
    <w:p>
      <w:pPr>
        <w:pStyle w:val="Heading1"/>
      </w:pPr>
      <w:r>
        <w:t>8　核心业务流程</w:t>
      </w:r>
    </w:p>
    <w:p>
      <w:pPr>
        <w:pStyle w:val="Heading2"/>
      </w:pPr>
      <w:r>
        <w:t>8.1　任务生命周期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任务从创建到完成经历以下状态流转：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720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PUBLISHED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微软雅黑"/>
                <w:sz w:val="20"/>
              </w:rPr>
              <w:t>任务已发布，等待执行</w:t>
            </w:r>
          </w:p>
        </w:tc>
      </w:tr>
      <w:tr>
        <w:tc>
          <w:tcPr>
            <w:tcW w:type="dxa" w:w="216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RUNNING</w:t>
            </w:r>
          </w:p>
        </w:tc>
        <w:tc>
          <w:tcPr>
            <w:tcW w:type="dxa" w:w="720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任务正在运行中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STOPPED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微软雅黑"/>
                <w:sz w:val="20"/>
              </w:rPr>
              <w:t>任务已停止</w:t>
            </w:r>
          </w:p>
        </w:tc>
      </w:tr>
      <w:tr>
        <w:tc>
          <w:tcPr>
            <w:tcW w:type="dxa" w:w="216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SUCCEEDED</w:t>
            </w:r>
          </w:p>
        </w:tc>
        <w:tc>
          <w:tcPr>
            <w:tcW w:type="dxa" w:w="720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任务执行成功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FAILED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微软雅黑"/>
                <w:sz w:val="20"/>
              </w:rPr>
              <w:t>任务执行失败</w:t>
            </w:r>
          </w:p>
        </w:tc>
      </w:tr>
    </w:tbl>
    <w:p/>
    <w:p>
      <w:pPr>
        <w:pStyle w:val="Heading2"/>
      </w:pPr>
      <w:r>
        <w:t>8.2　作业编排流程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典型的数据处理流程：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用户在可视化画布中拖拽添加 Source 节点（如 CSV 输入）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添加 Transform 节点（如字段映射、条件过滤、数据脱敏）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添加 Sink 节点（如写入 MySQL、发布到 Kafka）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通过连线定义数据流向，系统自动验证 DAG 图合法性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333333"/>
          <w:sz w:val="22"/>
        </w:rPr>
        <w:t>保存并发布任务，后端生成 Flink Pipeline 配置并提交执行</w:t>
      </w:r>
    </w:p>
    <w:p>
      <w:pPr>
        <w:pStyle w:val="Heading1"/>
      </w:pPr>
      <w:r>
        <w:t>9　开发与部署指南</w:t>
      </w:r>
    </w:p>
    <w:p>
      <w:pPr>
        <w:pStyle w:val="Heading2"/>
      </w:pPr>
      <w:r>
        <w:t>9.1　环境要求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64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Java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17+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Node.js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18+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Maven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3.8+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Docker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24+ / Docker Compose V2</w:t>
            </w:r>
          </w:p>
        </w:tc>
      </w:tr>
    </w:tbl>
    <w:p/>
    <w:p>
      <w:pPr>
        <w:pStyle w:val="Heading2"/>
      </w:pPr>
      <w:r>
        <w:t>9.2　快速启动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1. 启动基础设施（在项目根目录）：</w:t>
      </w:r>
    </w:p>
    <w:p>
      <w:pPr>
        <w:spacing w:after="120"/>
        <w:ind w:left="360"/>
      </w:pPr>
      <w:r>
        <w:rPr>
          <w:rFonts w:ascii="Calibri" w:hAnsi="Calibri" w:eastAsia="微软雅黑"/>
          <w:color w:val="333333"/>
          <w:sz w:val="22"/>
        </w:rPr>
        <w:t>docker-compose up -d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2. 启动后端：</w:t>
      </w:r>
    </w:p>
    <w:p>
      <w:pPr>
        <w:spacing w:after="120"/>
        <w:ind w:left="360"/>
      </w:pPr>
      <w:r>
        <w:rPr>
          <w:rFonts w:ascii="Calibri" w:hAnsi="Calibri" w:eastAsia="微软雅黑"/>
          <w:color w:val="333333"/>
          <w:sz w:val="22"/>
        </w:rPr>
        <w:t>cd backend &amp;&amp; mvn spring-boot:run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3. 启动前端：</w:t>
      </w:r>
    </w:p>
    <w:p>
      <w:pPr>
        <w:spacing w:after="120"/>
        <w:ind w:left="360"/>
      </w:pPr>
      <w:r>
        <w:rPr>
          <w:rFonts w:ascii="Calibri" w:hAnsi="Calibri" w:eastAsia="微软雅黑"/>
          <w:color w:val="333333"/>
          <w:sz w:val="22"/>
        </w:rPr>
        <w:t>cd frontend &amp;&amp; npm install &amp;&amp; npm run dev</w:t>
      </w:r>
    </w:p>
    <w:p>
      <w:pPr>
        <w:spacing w:after="120"/>
      </w:pPr>
      <w:r>
        <w:rPr>
          <w:rFonts w:ascii="Calibri" w:hAnsi="Calibri" w:eastAsia="微软雅黑"/>
          <w:color w:val="333333"/>
          <w:sz w:val="22"/>
        </w:rPr>
        <w:t>4. 访问 http://localhost:5173 即可使用平台。</w:t>
      </w:r>
    </w:p>
    <w:p>
      <w:pPr>
        <w:pStyle w:val="Heading2"/>
      </w:pPr>
      <w:r>
        <w:t>9.3　关键配置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16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432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DASHSCOPE_API_KEY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（空）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阿里云百炼 API Key，启用 AI 功能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MySQL 端口</w:t>
            </w:r>
          </w:p>
        </w:tc>
        <w:tc>
          <w:tcPr>
            <w:tcW w:type="dxa" w:w="216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3307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容器映射端口，避免与本机冲突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Kafka 端口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20"/>
              </w:rPr>
              <w:t>9092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20"/>
              </w:rPr>
              <w:t>外部访问端口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Flink Dashboard</w:t>
            </w:r>
          </w:p>
        </w:tc>
        <w:tc>
          <w:tcPr>
            <w:tcW w:type="dxa" w:w="216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http://localhost:8081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Flink Web UI</w:t>
            </w:r>
          </w:p>
        </w:tc>
      </w:tr>
    </w:tbl>
    <w:p/>
    <w:p>
      <w:pPr>
        <w:pStyle w:val="Heading1"/>
      </w:pPr>
      <w:r>
        <w:t>10　项目目录结构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6480"/>
            <w:shd w:fill="2E74B5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backend/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Spring Boot 后端服务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frontend/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Vue 3 前端应用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flink-jobs/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Flink 流处理作业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docs/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项目文档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tools/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开发辅助脚本（数据修复、插件编解码等）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samples/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示例数据文件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test-files/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测试用数据文件</w:t>
            </w:r>
          </w:p>
        </w:tc>
      </w:tr>
      <w:tr>
        <w:tc>
          <w:tcPr>
            <w:tcW w:type="dxa" w:w="28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img/</w:t>
            </w:r>
          </w:p>
        </w:tc>
        <w:tc>
          <w:tcPr>
            <w:tcW w:type="dxa" w:w="6480"/>
            <w:shd w:fill="EBF5FB"/>
          </w:tcPr>
          <w:p>
            <w:r/>
            <w:r>
              <w:rPr>
                <w:rFonts w:ascii="Calibri" w:hAnsi="Calibri" w:eastAsia="微软雅黑"/>
                <w:sz w:val="20"/>
              </w:rPr>
              <w:t>项目图片资源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20"/>
              </w:rPr>
              <w:t>docker-compose.yml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微软雅黑"/>
                <w:sz w:val="20"/>
              </w:rPr>
              <w:t>容器编排配置</w:t>
            </w:r>
          </w:p>
        </w:tc>
      </w:tr>
    </w:tbl>
    <w:p/>
    <w:p>
      <w:pPr>
        <w:spacing w:before="120" w:after="120"/>
        <w:pBdr>
          <w:bottom w:val="single" w:sz="6" w:space="1" w:color="D5D8DC"/>
        </w:pBdr>
      </w:pPr>
    </w:p>
    <w:p>
      <w:pPr>
        <w:spacing w:before="200"/>
        <w:jc w:val="center"/>
      </w:pPr>
      <w:r>
        <w:rPr>
          <w:rFonts w:ascii="Calibri" w:hAnsi="Calibri" w:eastAsia="微软雅黑"/>
          <w:color w:val="999999"/>
          <w:sz w:val="18"/>
        </w:rPr>
        <w:t>— 智流工坊 · Smart Flow Workshop —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