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多用途 YOLO 目标检测系统项目说明</w:t>
      </w:r>
    </w:p>
    <w:p>
      <w:pPr>
        <w:pStyle w:val="Heading2"/>
      </w:pPr>
      <w:r>
        <w:t>1. 项目定位</w:t>
      </w:r>
    </w:p>
    <w:p>
      <w:pPr/>
      <w:r>
        <w:t>本项目计划设计并实现一个面向多场景应用的通用目标检测平台。系统支持用户根据不同场景选择或加载不同的 YOLO 模型，对图片、视频和摄像头画面中的目标进行识别，并结合 AI 问答生成有针对性的检测解释和建议。</w:t>
      </w:r>
    </w:p>
    <w:p>
      <w:pPr/>
      <w:r>
        <w:t>项目核心思路是：前端提供更美观、易操作的检测界面；后端提供 YOLO 模型加载、目标检测、结果记录和 AI 分析能力；训练侧准备多个不同应用场景的数据集和模型，使系统能够覆盖农业、花卉识别、安全等多类目标检测任务。</w:t>
      </w:r>
    </w:p>
    <w:p>
      <w:pPr>
        <w:pStyle w:val="Heading2"/>
      </w:pPr>
      <w:r>
        <w:t>2. 项目建设方向</w:t>
      </w:r>
    </w:p>
    <w:p>
      <w:pPr>
        <w:pStyle w:val="Heading3"/>
      </w:pPr>
      <w:r>
        <w:t>2.1 多场景检测</w:t>
      </w:r>
    </w:p>
    <w:p>
      <w:pPr/>
      <w:r>
        <w:t>系统将支持多个检测场景，例如：</w:t>
      </w:r>
    </w:p>
    <w:p>
      <w:pPr>
        <w:pStyle w:val="ListBullet"/>
      </w:pPr>
      <w:r>
        <w:t>病虫害检测：识别作物叶片病斑、虫害区域或常见农业病害类别，辅助农业巡检和种植管理。</w:t>
      </w:r>
    </w:p>
    <w:p>
      <w:pPr>
        <w:pStyle w:val="ListBullet"/>
      </w:pPr>
      <w:r>
        <w:t>花卉检测：识别玫瑰、向日葵、郁金香、雏菊等不同花卉类别，可用于花卉分类识别、植物科普展示和图像识别演示。</w:t>
      </w:r>
    </w:p>
    <w:p>
      <w:pPr>
        <w:pStyle w:val="ListBullet"/>
      </w:pPr>
      <w:r>
        <w:t>火灾检测：识别火焰、烟雾等安全风险目标，用于安防监控、预警展示和应急辅助判断。</w:t>
      </w:r>
    </w:p>
    <w:p>
      <w:pPr>
        <w:pStyle w:val="ListBullet"/>
      </w:pPr>
      <w:r>
        <w:t>无人机检测：识别无人机或飞行器目标，用于低空安全监测和目标识别演示。</w:t>
      </w:r>
    </w:p>
    <w:p>
      <w:pPr>
        <w:pStyle w:val="Heading3"/>
      </w:pPr>
      <w:r>
        <w:t>2.2 从固定模型到模型管理</w:t>
      </w:r>
    </w:p>
    <w:p>
      <w:pPr/>
      <w:r>
        <w:t>系统需要支持多个 YOLO 模型的管理和切换。用户可以根据检测场景选择相应模型，例如选择“病虫害模型”后，系统检测结果和 AI 解释都围绕农业病虫害展开；选择“火灾模型”后，系统重点解释火焰、烟雾、风险等级和复核建议。</w:t>
      </w:r>
    </w:p>
    <w:p>
      <w:pPr/>
      <w:r>
        <w:t>模型管理功能包括：</w:t>
      </w:r>
    </w:p>
    <w:p>
      <w:pPr>
        <w:pStyle w:val="ListBullet"/>
      </w:pPr>
      <w:r>
        <w:t>展示当前可用模型及其适用场景。</w:t>
      </w:r>
    </w:p>
    <w:p>
      <w:pPr>
        <w:pStyle w:val="ListBullet"/>
      </w:pPr>
      <w:r>
        <w:t>支持加载不同场景模型。</w:t>
      </w:r>
    </w:p>
    <w:p>
      <w:pPr>
        <w:pStyle w:val="ListBullet"/>
      </w:pPr>
      <w:r>
        <w:t>保存模型名称、类别说明、适用范围和使用状态。</w:t>
      </w:r>
    </w:p>
    <w:p>
      <w:pPr>
        <w:pStyle w:val="ListBullet"/>
      </w:pPr>
      <w:r>
        <w:t>为 AI 问答提供当前模型上下文。</w:t>
      </w:r>
    </w:p>
    <w:p>
      <w:pPr>
        <w:pStyle w:val="Heading3"/>
      </w:pPr>
      <w:r>
        <w:t>2.3 从检测结果到智能解释</w:t>
      </w:r>
    </w:p>
    <w:p>
      <w:pPr/>
      <w:r>
        <w:t>系统不只展示检测框、类别和置信度，还要根据当前模型类型生成不同风格的 AI 分析回答。也就是说，AI 问答不再是统一口径，而是根据模型场景扮演不同角色：</w:t>
      </w:r>
    </w:p>
    <w:p>
      <w:pPr>
        <w:pStyle w:val="ListBullet"/>
      </w:pPr>
      <w:r>
        <w:t>病虫害模型：AI 以“农业植保助手”的角色回答，解释病害类型、可能影响和处理建议。</w:t>
      </w:r>
    </w:p>
    <w:p>
      <w:pPr>
        <w:pStyle w:val="ListBullet"/>
      </w:pPr>
      <w:r>
        <w:t>花卉模型：AI 以“花卉识别助手”的角色回答，解释花卉类别、外观特征、常见用途或养护建议。</w:t>
      </w:r>
    </w:p>
    <w:p>
      <w:pPr>
        <w:pStyle w:val="ListBullet"/>
      </w:pPr>
      <w:r>
        <w:t>火灾模型：AI 以“安全预警助手”的角色回答，说明风险目标、置信度、人工复核和处置建议。</w:t>
      </w:r>
    </w:p>
    <w:p>
      <w:pPr>
        <w:pStyle w:val="ListBullet"/>
      </w:pPr>
      <w:r>
        <w:t>无人机模型：AI 以“低空安全监测助手”的角色回答，说明无人机目标出现情况、可能风险和监测建议。</w:t>
      </w:r>
    </w:p>
    <w:p>
      <w:pPr>
        <w:pStyle w:val="Heading2"/>
      </w:pPr>
      <w:r>
        <w:t>3. 系统主要功能</w:t>
      </w:r>
    </w:p>
    <w:p>
      <w:pPr>
        <w:pStyle w:val="Heading3"/>
      </w:pPr>
      <w:r>
        <w:t>3.1 用户与基础管理</w:t>
      </w:r>
    </w:p>
    <w:p>
      <w:pPr/>
      <w:r>
        <w:t>系统保留登录、注册和用户状态管理功能。用户登录后可以使用检测、查看历史记录、切换模型和调用 AI 问答等功能。</w:t>
      </w:r>
    </w:p>
    <w:p>
      <w:pPr>
        <w:pStyle w:val="Heading3"/>
      </w:pPr>
      <w:r>
        <w:t>3.2 图片检测</w:t>
      </w:r>
    </w:p>
    <w:p>
      <w:pPr/>
      <w:r>
        <w:t>用户上传图片后，系统根据当前选择的 YOLO 模型进行目标检测，返回检测类别、置信度、目标框位置和检测结果图。系统保存原图、结果图和检测记录，方便后续查看。</w:t>
      </w:r>
    </w:p>
    <w:p>
      <w:pPr>
        <w:pStyle w:val="Heading3"/>
      </w:pPr>
      <w:r>
        <w:t>3.3 视频检测</w:t>
      </w:r>
    </w:p>
    <w:p>
      <w:pPr/>
      <w:r>
        <w:t>用户上传视频后，系统对视频帧进行目标检测，并输出带检测框的视频结果。为了提升效率，可以采用间隔抽帧检测，并在检测结果中统计处理帧数、目标出现频率和主要类别。</w:t>
      </w:r>
    </w:p>
    <w:p>
      <w:pPr>
        <w:pStyle w:val="Heading3"/>
      </w:pPr>
      <w:r>
        <w:t>3.4 摄像头实时检测</w:t>
      </w:r>
    </w:p>
    <w:p>
      <w:pPr/>
      <w:r>
        <w:t>系统支持通过摄像头采集画面并进行实时检测，用于演示系统的即时识别能力。前端需要清晰展示实时画面、检测框、类别标签和置信度。</w:t>
      </w:r>
    </w:p>
    <w:p>
      <w:pPr>
        <w:pStyle w:val="Heading3"/>
      </w:pPr>
      <w:r>
        <w:t>3.5 检测历史管理</w:t>
      </w:r>
    </w:p>
    <w:p>
      <w:pPr/>
      <w:r>
        <w:t>系统保存用户检测记录，包括检测时间、检测类型、使用模型、检测类别、最高置信度、原始文件和结果文件。用户可以查看、下载或删除历史记录。</w:t>
      </w:r>
    </w:p>
    <w:p>
      <w:pPr>
        <w:pStyle w:val="Heading3"/>
      </w:pPr>
      <w:r>
        <w:t>3.6 AI 智能分析与问答</w:t>
      </w:r>
    </w:p>
    <w:p>
      <w:pPr/>
      <w:r>
        <w:t>系统基于检测结果、置信度、类别分布和当前模型类型生成自然语言解释。AI 问答需要能够回答用户围绕检测结果提出的问题，例如：</w:t>
      </w:r>
    </w:p>
    <w:p>
      <w:pPr>
        <w:pStyle w:val="ListBullet"/>
      </w:pPr>
      <w:r>
        <w:t>这次检测结果可靠吗？</w:t>
      </w:r>
    </w:p>
    <w:p>
      <w:pPr>
        <w:pStyle w:val="ListBullet"/>
      </w:pPr>
      <w:r>
        <w:t>主要检测到了什么目标？</w:t>
      </w:r>
    </w:p>
    <w:p>
      <w:pPr>
        <w:pStyle w:val="ListBullet"/>
      </w:pPr>
      <w:r>
        <w:t>为什么需要人工复核？</w:t>
      </w:r>
    </w:p>
    <w:p>
      <w:pPr>
        <w:pStyle w:val="ListBullet"/>
      </w:pPr>
      <w:r>
        <w:t>当前场景下应该采取什么处理建议？</w:t>
      </w:r>
    </w:p>
    <w:p>
      <w:pPr>
        <w:pStyle w:val="Heading2"/>
      </w:pPr>
      <w:r>
        <w:t>4. 前端美化目标</w:t>
      </w:r>
    </w:p>
    <w:p>
      <w:pPr/>
      <w:r>
        <w:t>前端建设重点不是做成简单表单，而是让系统看起来像一个完整的智能检测平台。建议页面包括：</w:t>
      </w:r>
    </w:p>
    <w:p>
      <w:pPr>
        <w:pStyle w:val="ListBullet"/>
      </w:pPr>
      <w:r>
        <w:t>仪表盘首页：展示模型数量、检测次数、最近检测结果和系统状态。</w:t>
      </w:r>
    </w:p>
    <w:p>
      <w:pPr>
        <w:pStyle w:val="ListBullet"/>
      </w:pPr>
      <w:r>
        <w:t>检测页面：支持图片、视频、摄像头检测，并突出模型选择入口。</w:t>
      </w:r>
    </w:p>
    <w:p>
      <w:pPr>
        <w:pStyle w:val="ListBullet"/>
      </w:pPr>
      <w:r>
        <w:t>模型中心：展示不同场景模型卡片、适用范围、类别数量和加载状态。</w:t>
      </w:r>
    </w:p>
    <w:p>
      <w:pPr>
        <w:pStyle w:val="ListBullet"/>
      </w:pPr>
      <w:r>
        <w:t>历史记录页面：以列表或卡片形式展示检测记录，并支持详情查看。</w:t>
      </w:r>
    </w:p>
    <w:p>
      <w:pPr>
        <w:pStyle w:val="ListBullet"/>
      </w:pPr>
      <w:r>
        <w:t>AI 分析面板：展示检测结论、风险提示、可信度分析和问答窗口。</w:t>
      </w:r>
    </w:p>
    <w:p>
      <w:pPr/>
      <w:r>
        <w:t>整体视觉风格建议偏现代化、清晰、科技感，重点突出“多模型、多场景、智能分析”的特点。</w:t>
      </w:r>
    </w:p>
    <w:p>
      <w:pPr>
        <w:pStyle w:val="Heading2"/>
      </w:pPr>
      <w:r>
        <w:t>5. 训练数据集规划</w:t>
      </w:r>
    </w:p>
    <w:p>
      <w:pPr/>
      <w:r>
        <w:t>项目计划训练或准备多个场景的 YOLO 数据集，每个数据集对应一个模型方向：</w:t>
      </w:r>
    </w:p>
    <w:tbl>
      <w:tblPr>
        <w:tblStyle w:val="TableGrid"/>
        <w:tblW w:type="auto" w:w="0"/>
        <w:jc w:val="center"/>
        <w:tblLook w:firstColumn="1" w:firstRow="1" w:lastColumn="0" w:lastRow="0" w:noHBand="0" w:noVBand="1" w:val="04A0"/>
      </w:tblPr>
      <w:tblGrid>
        <w:gridCol w:w="3120"/>
        <w:gridCol w:w="3120"/>
        <w:gridCol w:w="3120"/>
      </w:tblGrid>
      <w:tr>
        <w:tc>
          <w:tcPr>
            <w:tcW w:type="dxa" w:w="3120"/>
            <w:vAlign w:val="center"/>
            <w:shd w:fill="F1F3F4"/>
          </w:tcPr>
          <w:p>
            <w:pPr>
              <w:spacing w:after="0"/>
            </w:pPr>
            <w:r/>
            <w:r>
              <w:rPr>
                <w:rFonts w:ascii="Times New Roman" w:hAnsi="Times New Roman" w:eastAsia="宋体"/>
                <w:b/>
                <w:sz w:val="21"/>
              </w:rPr>
              <w:t>场景</w:t>
            </w:r>
          </w:p>
        </w:tc>
        <w:tc>
          <w:tcPr>
            <w:tcW w:type="dxa" w:w="3120"/>
            <w:vAlign w:val="center"/>
            <w:shd w:fill="F1F3F4"/>
          </w:tcPr>
          <w:p>
            <w:pPr>
              <w:spacing w:after="0"/>
            </w:pPr>
            <w:r/>
            <w:r>
              <w:rPr>
                <w:rFonts w:ascii="Times New Roman" w:hAnsi="Times New Roman" w:eastAsia="宋体"/>
                <w:b/>
                <w:sz w:val="21"/>
              </w:rPr>
              <w:t>可能目标类别</w:t>
            </w:r>
          </w:p>
        </w:tc>
        <w:tc>
          <w:tcPr>
            <w:tcW w:type="dxa" w:w="3120"/>
            <w:vAlign w:val="center"/>
            <w:shd w:fill="F1F3F4"/>
          </w:tcPr>
          <w:p>
            <w:pPr>
              <w:spacing w:after="0"/>
            </w:pPr>
            <w:r/>
            <w:r>
              <w:rPr>
                <w:rFonts w:ascii="Times New Roman" w:hAnsi="Times New Roman" w:eastAsia="宋体"/>
                <w:b/>
                <w:sz w:val="21"/>
              </w:rPr>
              <w:t>应用价值</w:t>
            </w:r>
          </w:p>
        </w:tc>
      </w:tr>
      <w:tr>
        <w:tc>
          <w:tcPr>
            <w:tcW w:type="dxa" w:w="3120"/>
            <w:vAlign w:val="center"/>
          </w:tcPr>
          <w:p>
            <w:pPr>
              <w:spacing w:after="0"/>
            </w:pPr>
            <w:r/>
            <w:r>
              <w:rPr>
                <w:rFonts w:ascii="Times New Roman" w:hAnsi="Times New Roman" w:eastAsia="宋体"/>
                <w:b w:val="0"/>
                <w:sz w:val="21"/>
              </w:rPr>
              <w:t>病虫害检测</w:t>
            </w:r>
          </w:p>
        </w:tc>
        <w:tc>
          <w:tcPr>
            <w:tcW w:type="dxa" w:w="3120"/>
            <w:vAlign w:val="center"/>
          </w:tcPr>
          <w:p>
            <w:pPr>
              <w:spacing w:after="0"/>
            </w:pPr>
            <w:r/>
            <w:r>
              <w:rPr>
                <w:rFonts w:ascii="Times New Roman" w:hAnsi="Times New Roman" w:eastAsia="宋体"/>
                <w:b w:val="0"/>
                <w:sz w:val="21"/>
              </w:rPr>
              <w:t>叶斑、虫害、枯萎、健康叶片等</w:t>
            </w:r>
          </w:p>
        </w:tc>
        <w:tc>
          <w:tcPr>
            <w:tcW w:type="dxa" w:w="3120"/>
            <w:vAlign w:val="center"/>
          </w:tcPr>
          <w:p>
            <w:pPr>
              <w:spacing w:after="0"/>
            </w:pPr>
            <w:r/>
            <w:r>
              <w:rPr>
                <w:rFonts w:ascii="Times New Roman" w:hAnsi="Times New Roman" w:eastAsia="宋体"/>
                <w:b w:val="0"/>
                <w:sz w:val="21"/>
              </w:rPr>
              <w:t>辅助农业巡检和作物健康判断</w:t>
            </w:r>
          </w:p>
        </w:tc>
      </w:tr>
      <w:tr>
        <w:tc>
          <w:tcPr>
            <w:tcW w:type="dxa" w:w="3120"/>
            <w:vAlign w:val="center"/>
          </w:tcPr>
          <w:p>
            <w:pPr>
              <w:spacing w:after="0"/>
            </w:pPr>
            <w:r/>
            <w:r>
              <w:rPr>
                <w:rFonts w:ascii="Times New Roman" w:hAnsi="Times New Roman" w:eastAsia="宋体"/>
                <w:b w:val="0"/>
                <w:sz w:val="21"/>
              </w:rPr>
              <w:t>花卉检测</w:t>
            </w:r>
          </w:p>
        </w:tc>
        <w:tc>
          <w:tcPr>
            <w:tcW w:type="dxa" w:w="3120"/>
            <w:vAlign w:val="center"/>
          </w:tcPr>
          <w:p>
            <w:pPr>
              <w:spacing w:after="0"/>
            </w:pPr>
            <w:r/>
            <w:r>
              <w:rPr>
                <w:rFonts w:ascii="Times New Roman" w:hAnsi="Times New Roman" w:eastAsia="宋体"/>
                <w:b w:val="0"/>
                <w:sz w:val="21"/>
              </w:rPr>
              <w:t>玫瑰、向日葵、郁金香、雏菊等</w:t>
            </w:r>
          </w:p>
        </w:tc>
        <w:tc>
          <w:tcPr>
            <w:tcW w:type="dxa" w:w="3120"/>
            <w:vAlign w:val="center"/>
          </w:tcPr>
          <w:p>
            <w:pPr>
              <w:spacing w:after="0"/>
            </w:pPr>
            <w:r/>
            <w:r>
              <w:rPr>
                <w:rFonts w:ascii="Times New Roman" w:hAnsi="Times New Roman" w:eastAsia="宋体"/>
                <w:b w:val="0"/>
                <w:sz w:val="21"/>
              </w:rPr>
              <w:t>用于花卉分类识别、植物科普展示和图像识别演示</w:t>
            </w:r>
          </w:p>
        </w:tc>
      </w:tr>
      <w:tr>
        <w:tc>
          <w:tcPr>
            <w:tcW w:type="dxa" w:w="3120"/>
            <w:vAlign w:val="center"/>
          </w:tcPr>
          <w:p>
            <w:pPr>
              <w:spacing w:after="0"/>
            </w:pPr>
            <w:r/>
            <w:r>
              <w:rPr>
                <w:rFonts w:ascii="Times New Roman" w:hAnsi="Times New Roman" w:eastAsia="宋体"/>
                <w:b w:val="0"/>
                <w:sz w:val="21"/>
              </w:rPr>
              <w:t>火灾检测</w:t>
            </w:r>
          </w:p>
        </w:tc>
        <w:tc>
          <w:tcPr>
            <w:tcW w:type="dxa" w:w="3120"/>
            <w:vAlign w:val="center"/>
          </w:tcPr>
          <w:p>
            <w:pPr>
              <w:spacing w:after="0"/>
            </w:pPr>
            <w:r/>
            <w:r>
              <w:rPr>
                <w:rFonts w:ascii="Times New Roman" w:hAnsi="Times New Roman" w:eastAsia="宋体"/>
                <w:b w:val="0"/>
                <w:sz w:val="21"/>
              </w:rPr>
              <w:t>火焰、烟雾、疑似危险区域等</w:t>
            </w:r>
          </w:p>
        </w:tc>
        <w:tc>
          <w:tcPr>
            <w:tcW w:type="dxa" w:w="3120"/>
            <w:vAlign w:val="center"/>
          </w:tcPr>
          <w:p>
            <w:pPr>
              <w:spacing w:after="0"/>
            </w:pPr>
            <w:r/>
            <w:r>
              <w:rPr>
                <w:rFonts w:ascii="Times New Roman" w:hAnsi="Times New Roman" w:eastAsia="宋体"/>
                <w:b w:val="0"/>
                <w:sz w:val="21"/>
              </w:rPr>
              <w:t>用于安全监控、风险提示和应急辅助</w:t>
            </w:r>
          </w:p>
        </w:tc>
      </w:tr>
      <w:tr>
        <w:tc>
          <w:tcPr>
            <w:tcW w:type="dxa" w:w="3120"/>
            <w:vAlign w:val="center"/>
          </w:tcPr>
          <w:p>
            <w:pPr>
              <w:spacing w:after="0"/>
            </w:pPr>
            <w:r/>
            <w:r>
              <w:rPr>
                <w:rFonts w:ascii="Times New Roman" w:hAnsi="Times New Roman" w:eastAsia="宋体"/>
                <w:b w:val="0"/>
                <w:sz w:val="21"/>
              </w:rPr>
              <w:t>无人机检测</w:t>
            </w:r>
          </w:p>
        </w:tc>
        <w:tc>
          <w:tcPr>
            <w:tcW w:type="dxa" w:w="3120"/>
            <w:vAlign w:val="center"/>
          </w:tcPr>
          <w:p>
            <w:pPr>
              <w:spacing w:after="0"/>
            </w:pPr>
            <w:r/>
            <w:r>
              <w:rPr>
                <w:rFonts w:ascii="Times New Roman" w:hAnsi="Times New Roman" w:eastAsia="宋体"/>
                <w:b w:val="0"/>
                <w:sz w:val="21"/>
              </w:rPr>
              <w:t>无人机、飞行器等</w:t>
            </w:r>
          </w:p>
        </w:tc>
        <w:tc>
          <w:tcPr>
            <w:tcW w:type="dxa" w:w="3120"/>
            <w:vAlign w:val="center"/>
          </w:tcPr>
          <w:p>
            <w:pPr>
              <w:spacing w:after="0"/>
            </w:pPr>
            <w:r/>
            <w:r>
              <w:rPr>
                <w:rFonts w:ascii="Times New Roman" w:hAnsi="Times New Roman" w:eastAsia="宋体"/>
                <w:b w:val="0"/>
                <w:sz w:val="21"/>
              </w:rPr>
              <w:t>用于低空安全监测和目标识别演示</w:t>
            </w:r>
          </w:p>
        </w:tc>
      </w:tr>
    </w:tbl>
    <w:p/>
    <w:p>
      <w:pPr/>
      <w:r>
        <w:t>如果课程时间有限，可以先保证每个方向有可演示模型，再逐步优化数据集规模、标注质量和检测准确率。</w:t>
      </w:r>
    </w:p>
    <w:p>
      <w:pPr>
        <w:pStyle w:val="Heading2"/>
      </w:pPr>
      <w:r>
        <w:t>6. AI 问答角色设计</w:t>
      </w:r>
    </w:p>
    <w:p>
      <w:pPr/>
      <w:r>
        <w:t>AI 问答的关键不是单纯调用大模型，而是把“当前使用的 YOLO 模型”和“检测结果”一起作为上下文输入，使回答更贴合场景。建议后端为不同模型配置不同角色提示词：</w:t>
      </w:r>
    </w:p>
    <w:tbl>
      <w:tblPr>
        <w:tblStyle w:val="TableGrid"/>
        <w:tblW w:type="auto" w:w="0"/>
        <w:jc w:val="center"/>
        <w:tblLook w:firstColumn="1" w:firstRow="1" w:lastColumn="0" w:lastRow="0" w:noHBand="0" w:noVBand="1" w:val="04A0"/>
      </w:tblPr>
      <w:tblGrid>
        <w:gridCol w:w="3120"/>
        <w:gridCol w:w="3120"/>
        <w:gridCol w:w="3120"/>
      </w:tblGrid>
      <w:tr>
        <w:tc>
          <w:tcPr>
            <w:tcW w:type="dxa" w:w="3120"/>
            <w:vAlign w:val="center"/>
            <w:shd w:fill="F1F3F4"/>
          </w:tcPr>
          <w:p>
            <w:pPr>
              <w:spacing w:after="0"/>
            </w:pPr>
            <w:r/>
            <w:r>
              <w:rPr>
                <w:rFonts w:ascii="Times New Roman" w:hAnsi="Times New Roman" w:eastAsia="宋体"/>
                <w:b/>
                <w:sz w:val="21"/>
              </w:rPr>
              <w:t>模型场景</w:t>
            </w:r>
          </w:p>
        </w:tc>
        <w:tc>
          <w:tcPr>
            <w:tcW w:type="dxa" w:w="3120"/>
            <w:vAlign w:val="center"/>
            <w:shd w:fill="F1F3F4"/>
          </w:tcPr>
          <w:p>
            <w:pPr>
              <w:spacing w:after="0"/>
            </w:pPr>
            <w:r/>
            <w:r>
              <w:rPr>
                <w:rFonts w:ascii="Times New Roman" w:hAnsi="Times New Roman" w:eastAsia="宋体"/>
                <w:b/>
                <w:sz w:val="21"/>
              </w:rPr>
              <w:t>AI 角色</w:t>
            </w:r>
          </w:p>
        </w:tc>
        <w:tc>
          <w:tcPr>
            <w:tcW w:type="dxa" w:w="3120"/>
            <w:vAlign w:val="center"/>
            <w:shd w:fill="F1F3F4"/>
          </w:tcPr>
          <w:p>
            <w:pPr>
              <w:spacing w:after="0"/>
            </w:pPr>
            <w:r/>
            <w:r>
              <w:rPr>
                <w:rFonts w:ascii="Times New Roman" w:hAnsi="Times New Roman" w:eastAsia="宋体"/>
                <w:b/>
                <w:sz w:val="21"/>
              </w:rPr>
              <w:t>回答重点</w:t>
            </w:r>
          </w:p>
        </w:tc>
      </w:tr>
      <w:tr>
        <w:tc>
          <w:tcPr>
            <w:tcW w:type="dxa" w:w="3120"/>
            <w:vAlign w:val="center"/>
          </w:tcPr>
          <w:p>
            <w:pPr>
              <w:spacing w:after="0"/>
            </w:pPr>
            <w:r/>
            <w:r>
              <w:rPr>
                <w:rFonts w:ascii="Times New Roman" w:hAnsi="Times New Roman" w:eastAsia="宋体"/>
                <w:b w:val="0"/>
                <w:sz w:val="21"/>
              </w:rPr>
              <w:t>病虫害</w:t>
            </w:r>
          </w:p>
        </w:tc>
        <w:tc>
          <w:tcPr>
            <w:tcW w:type="dxa" w:w="3120"/>
            <w:vAlign w:val="center"/>
          </w:tcPr>
          <w:p>
            <w:pPr>
              <w:spacing w:after="0"/>
            </w:pPr>
            <w:r/>
            <w:r>
              <w:rPr>
                <w:rFonts w:ascii="Times New Roman" w:hAnsi="Times New Roman" w:eastAsia="宋体"/>
                <w:b w:val="0"/>
                <w:sz w:val="21"/>
              </w:rPr>
              <w:t>农业植保助手</w:t>
            </w:r>
          </w:p>
        </w:tc>
        <w:tc>
          <w:tcPr>
            <w:tcW w:type="dxa" w:w="3120"/>
            <w:vAlign w:val="center"/>
          </w:tcPr>
          <w:p>
            <w:pPr>
              <w:spacing w:after="0"/>
            </w:pPr>
            <w:r/>
            <w:r>
              <w:rPr>
                <w:rFonts w:ascii="Times New Roman" w:hAnsi="Times New Roman" w:eastAsia="宋体"/>
                <w:b w:val="0"/>
                <w:sz w:val="21"/>
              </w:rPr>
              <w:t>病害解释、影响范围、处理建议、复核提醒</w:t>
            </w:r>
          </w:p>
        </w:tc>
      </w:tr>
      <w:tr>
        <w:tc>
          <w:tcPr>
            <w:tcW w:type="dxa" w:w="3120"/>
            <w:vAlign w:val="center"/>
          </w:tcPr>
          <w:p>
            <w:pPr>
              <w:spacing w:after="0"/>
            </w:pPr>
            <w:r/>
            <w:r>
              <w:rPr>
                <w:rFonts w:ascii="Times New Roman" w:hAnsi="Times New Roman" w:eastAsia="宋体"/>
                <w:b w:val="0"/>
                <w:sz w:val="21"/>
              </w:rPr>
              <w:t>花卉</w:t>
            </w:r>
          </w:p>
        </w:tc>
        <w:tc>
          <w:tcPr>
            <w:tcW w:type="dxa" w:w="3120"/>
            <w:vAlign w:val="center"/>
          </w:tcPr>
          <w:p>
            <w:pPr>
              <w:spacing w:after="0"/>
            </w:pPr>
            <w:r/>
            <w:r>
              <w:rPr>
                <w:rFonts w:ascii="Times New Roman" w:hAnsi="Times New Roman" w:eastAsia="宋体"/>
                <w:b w:val="0"/>
                <w:sz w:val="21"/>
              </w:rPr>
              <w:t>花卉识别助手</w:t>
            </w:r>
          </w:p>
        </w:tc>
        <w:tc>
          <w:tcPr>
            <w:tcW w:type="dxa" w:w="3120"/>
            <w:vAlign w:val="center"/>
          </w:tcPr>
          <w:p>
            <w:pPr>
              <w:spacing w:after="0"/>
            </w:pPr>
            <w:r/>
            <w:r>
              <w:rPr>
                <w:rFonts w:ascii="Times New Roman" w:hAnsi="Times New Roman" w:eastAsia="宋体"/>
                <w:b w:val="0"/>
                <w:sz w:val="21"/>
              </w:rPr>
              <w:t>花卉类别、外观特征、常见用途、养护建议、识别可信度</w:t>
            </w:r>
          </w:p>
        </w:tc>
      </w:tr>
      <w:tr>
        <w:tc>
          <w:tcPr>
            <w:tcW w:type="dxa" w:w="3120"/>
            <w:vAlign w:val="center"/>
          </w:tcPr>
          <w:p>
            <w:pPr>
              <w:spacing w:after="0"/>
            </w:pPr>
            <w:r/>
            <w:r>
              <w:rPr>
                <w:rFonts w:ascii="Times New Roman" w:hAnsi="Times New Roman" w:eastAsia="宋体"/>
                <w:b w:val="0"/>
                <w:sz w:val="21"/>
              </w:rPr>
              <w:t>火灾</w:t>
            </w:r>
          </w:p>
        </w:tc>
        <w:tc>
          <w:tcPr>
            <w:tcW w:type="dxa" w:w="3120"/>
            <w:vAlign w:val="center"/>
          </w:tcPr>
          <w:p>
            <w:pPr>
              <w:spacing w:after="0"/>
            </w:pPr>
            <w:r/>
            <w:r>
              <w:rPr>
                <w:rFonts w:ascii="Times New Roman" w:hAnsi="Times New Roman" w:eastAsia="宋体"/>
                <w:b w:val="0"/>
                <w:sz w:val="21"/>
              </w:rPr>
              <w:t>安全预警助手</w:t>
            </w:r>
          </w:p>
        </w:tc>
        <w:tc>
          <w:tcPr>
            <w:tcW w:type="dxa" w:w="3120"/>
            <w:vAlign w:val="center"/>
          </w:tcPr>
          <w:p>
            <w:pPr>
              <w:spacing w:after="0"/>
            </w:pPr>
            <w:r/>
            <w:r>
              <w:rPr>
                <w:rFonts w:ascii="Times New Roman" w:hAnsi="Times New Roman" w:eastAsia="宋体"/>
                <w:b w:val="0"/>
                <w:sz w:val="21"/>
              </w:rPr>
              <w:t>火焰/烟雾风险、紧急程度、人工复核、处置建议</w:t>
            </w:r>
          </w:p>
        </w:tc>
      </w:tr>
      <w:tr>
        <w:tc>
          <w:tcPr>
            <w:tcW w:type="dxa" w:w="3120"/>
            <w:vAlign w:val="center"/>
          </w:tcPr>
          <w:p>
            <w:pPr>
              <w:spacing w:after="0"/>
            </w:pPr>
            <w:r/>
            <w:r>
              <w:rPr>
                <w:rFonts w:ascii="Times New Roman" w:hAnsi="Times New Roman" w:eastAsia="宋体"/>
                <w:b w:val="0"/>
                <w:sz w:val="21"/>
              </w:rPr>
              <w:t>无人机</w:t>
            </w:r>
          </w:p>
        </w:tc>
        <w:tc>
          <w:tcPr>
            <w:tcW w:type="dxa" w:w="3120"/>
            <w:vAlign w:val="center"/>
          </w:tcPr>
          <w:p>
            <w:pPr>
              <w:spacing w:after="0"/>
            </w:pPr>
            <w:r/>
            <w:r>
              <w:rPr>
                <w:rFonts w:ascii="Times New Roman" w:hAnsi="Times New Roman" w:eastAsia="宋体"/>
                <w:b w:val="0"/>
                <w:sz w:val="21"/>
              </w:rPr>
              <w:t>低空安全监测助手</w:t>
            </w:r>
          </w:p>
        </w:tc>
        <w:tc>
          <w:tcPr>
            <w:tcW w:type="dxa" w:w="3120"/>
            <w:vAlign w:val="center"/>
          </w:tcPr>
          <w:p>
            <w:pPr>
              <w:spacing w:after="0"/>
            </w:pPr>
            <w:r/>
            <w:r>
              <w:rPr>
                <w:rFonts w:ascii="Times New Roman" w:hAnsi="Times New Roman" w:eastAsia="宋体"/>
                <w:b w:val="0"/>
                <w:sz w:val="21"/>
              </w:rPr>
              <w:t>目标出现情况、风险判断、监控建议、误检说明</w:t>
            </w:r>
          </w:p>
        </w:tc>
      </w:tr>
    </w:tbl>
    <w:p/>
    <w:p>
      <w:pPr/>
      <w:r>
        <w:t>这样设计可以体现项目的智能化特点：同样是目标检测结果，不同模型会触发不同业务语境下的解释。</w:t>
      </w:r>
    </w:p>
    <w:p>
      <w:pPr>
        <w:pStyle w:val="Heading2"/>
      </w:pPr>
      <w:r>
        <w:t>7. 当前需要组内确认的问题</w:t>
      </w:r>
    </w:p>
    <w:p>
      <w:pPr/>
      <w:r>
        <w:t>在正式填写实验报告和分配开发任务前，建议组内先确认以下内容：</w:t>
      </w:r>
    </w:p>
    <w:p>
      <w:pPr>
        <w:pStyle w:val="ListNumber"/>
      </w:pPr>
      <w:r>
        <w:t>本次课程作业是否以“多用途 YOLO 目标检测系统”作为最终项目名称。</w:t>
      </w:r>
    </w:p>
    <w:p>
      <w:pPr>
        <w:pStyle w:val="ListNumber"/>
      </w:pPr>
      <w:r>
        <w:t>是否保留无人机检测作为一个模型场景，还是完全替换为新场景。</w:t>
      </w:r>
    </w:p>
    <w:p>
      <w:pPr>
        <w:pStyle w:val="ListNumber"/>
      </w:pPr>
      <w:r>
        <w:t>病虫害、花卉、火灾三个场景是否都要训练，还是先保证其中两个场景能稳定演示。</w:t>
      </w:r>
    </w:p>
    <w:p>
      <w:pPr>
        <w:pStyle w:val="ListNumber"/>
      </w:pPr>
      <w:r>
        <w:t>AI 问答是否继续使用 DeepSeek API，是否需要准备接口 Key 和本地兜底方案。</w:t>
      </w:r>
    </w:p>
    <w:p>
      <w:pPr>
        <w:pStyle w:val="ListNumber"/>
      </w:pPr>
      <w:r>
        <w:t>前端美化由谁负责，是否需要统一设计风格和页面结构。</w:t>
      </w:r>
    </w:p>
    <w:p>
      <w:pPr>
        <w:pStyle w:val="ListNumber"/>
      </w:pPr>
      <w:r>
        <w:t>实验报告中的图，如总体用例图、流程图、数据流图，由谁负责绘制。</w:t>
      </w:r>
    </w:p>
    <w:p>
      <w:pPr>
        <w:pStyle w:val="Heading2"/>
      </w:pPr>
      <w:r>
        <w:t>8. 一句话总结</w:t>
      </w:r>
    </w:p>
    <w:p>
      <w:pPr/>
      <w:r>
        <w:t>本项目可以理解为：一个支持多场景、多模型、多角色 AI 解释的智能目标检测平台，通过病虫害、花卉、火灾和无人机等模型展示目标检测技术在不同应用领域中的可扩展性。</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sz w:val="18"/>
      </w:rPr>
      <w:t>多用途YOLO目标检测系统_项目说明</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Times New Roman" w:hAnsi="Times New Roman"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宋体"/>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宋体"/>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宋体"/>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宋体"/>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eastAsia="宋体"/>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Times New Roman" w:hAnsi="Times New Roman" w:eastAsia="宋体"/>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