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¡OJO! Anexar a su informe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137" w:tblpY="561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4649"/>
        <w:gridCol w:w="938"/>
        <w:gridCol w:w="1029"/>
        <w:gridCol w:w="1184"/>
        <w:gridCol w:w="989"/>
        <w:tblGridChange w:id="0">
          <w:tblGrid>
            <w:gridCol w:w="1559"/>
            <w:gridCol w:w="4649"/>
            <w:gridCol w:w="938"/>
            <w:gridCol w:w="1029"/>
            <w:gridCol w:w="1184"/>
            <w:gridCol w:w="989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 y demostración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GitHub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Hay enlace URL activo del directorio para el laboratorio hacia su repositorio GitHub con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 terminado y fácil de revisar.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2. Commits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Hay capturas de pantalla de los commits más importantes con sus explicaciones detalladas.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(El profesor puede preguntar para refrendar calificación).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 Código fuente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Hay porciones de código fuente importantes con numeración y explicaciones detalladas de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sus funciones.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4. Ejecución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 incluyen ejecuciones/pruebas del código fuente explicadas gradualmente.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 Pregunta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responde con completitud a la pregunta formulada en la tarea. (El profesor puede preguntar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para refrendar calificación).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6. Fechas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fechas de modificación del código fuente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 dentro de los plazos de fecha de entrega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establecidos.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7. Ortografía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documento no muestra errores ortográficos.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8. Madurez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Informe muestra de manera general una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evolución de la madurez del código fuente, explicaciones puntuales pero precisas y un acabado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impecable. (El profesor puede preguntar para refrendar calificación).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RUBRICA PARA EL CONTENIDO DEL INFORME Y DEMOSTRACIÓN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alumno debe marcar o dejar en blanco en celdas de la columna Checklist si cumplió con el ítem correspondiente.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 un alumno supera la fecha de entrega, su calificación será sobre la nota mínima aprobada, siempre y cuando cumpla con todos lo ítems.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alumno debe autocalificarse en la columna Estudiante de acuerdo a la siguiente tabla: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Tabla 1: Niveles de desempeño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6985</wp:posOffset>
            </wp:positionV>
            <wp:extent cx="6645910" cy="946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Tabla 2: Rúbrica para contenido del Informe y demostración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MBX1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eMyUaZ5fD5J7vqh5fP8lIRTtw==">CgMxLjA4AHIhMV9kVExOajBnOWJfWExMM2xVOHd0NkRXcTJ2UXF4R2wx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