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EB4B" w14:textId="77777777" w:rsidR="00000000" w:rsidRPr="00536BFB" w:rsidRDefault="00243083">
      <w:pPr>
        <w:spacing w:beforeLines="150" w:before="468"/>
        <w:jc w:val="center"/>
        <w:rPr>
          <w:b/>
          <w:sz w:val="44"/>
          <w:szCs w:val="44"/>
          <w14:shadow w14:blurRad="50800" w14:dist="38100" w14:dir="2700000" w14:sx="100000" w14:sy="100000" w14:kx="0" w14:ky="0" w14:algn="tl">
            <w14:srgbClr w14:val="000000">
              <w14:alpha w14:val="60000"/>
            </w14:srgbClr>
          </w14:shadow>
        </w:rPr>
      </w:pPr>
      <w:r w:rsidRPr="00536BFB">
        <w:rPr>
          <w:b/>
          <w:sz w:val="44"/>
          <w:szCs w:val="44"/>
          <w14:shadow w14:blurRad="50800" w14:dist="38100" w14:dir="2700000" w14:sx="100000" w14:sy="100000" w14:kx="0" w14:ky="0" w14:algn="tl">
            <w14:srgbClr w14:val="000000">
              <w14:alpha w14:val="60000"/>
            </w14:srgbClr>
          </w14:shadow>
        </w:rPr>
        <w:t>CSRC</w:t>
      </w:r>
      <w:r w:rsidRPr="00536BFB">
        <w:rPr>
          <w:b/>
          <w:sz w:val="44"/>
          <w:szCs w:val="44"/>
          <w14:shadow w14:blurRad="50800" w14:dist="38100" w14:dir="2700000" w14:sx="100000" w14:sy="100000" w14:kx="0" w14:ky="0" w14:algn="tl">
            <w14:srgbClr w14:val="000000">
              <w14:alpha w14:val="60000"/>
            </w14:srgbClr>
          </w14:shadow>
        </w:rPr>
        <w:t>基金</w:t>
      </w:r>
      <w:r w:rsidRPr="00536BFB">
        <w:rPr>
          <w:b/>
          <w:sz w:val="44"/>
          <w:szCs w:val="44"/>
          <w14:shadow w14:blurRad="50800" w14:dist="38100" w14:dir="2700000" w14:sx="100000" w14:sy="100000" w14:kx="0" w14:ky="0" w14:algn="tl">
            <w14:srgbClr w14:val="000000">
              <w14:alpha w14:val="60000"/>
            </w14:srgbClr>
          </w14:shadow>
        </w:rPr>
        <w:t>XBRL</w:t>
      </w:r>
      <w:r w:rsidRPr="00536BFB">
        <w:rPr>
          <w:b/>
          <w:sz w:val="44"/>
          <w:szCs w:val="44"/>
          <w14:shadow w14:blurRad="50800" w14:dist="38100" w14:dir="2700000" w14:sx="100000" w14:sy="100000" w14:kx="0" w14:ky="0" w14:algn="tl">
            <w14:srgbClr w14:val="000000">
              <w14:alpha w14:val="60000"/>
            </w14:srgbClr>
          </w14:shadow>
        </w:rPr>
        <w:t>实例文档编制技术指引</w:t>
      </w:r>
      <w:r w:rsidRPr="00536BFB">
        <w:rPr>
          <w:b/>
          <w:sz w:val="44"/>
          <w:szCs w:val="44"/>
          <w14:shadow w14:blurRad="50800" w14:dist="38100" w14:dir="2700000" w14:sx="100000" w14:sy="100000" w14:kx="0" w14:ky="0" w14:algn="tl">
            <w14:srgbClr w14:val="000000">
              <w14:alpha w14:val="60000"/>
            </w14:srgbClr>
          </w14:shadow>
        </w:rPr>
        <w:t xml:space="preserve"> </w:t>
      </w:r>
    </w:p>
    <w:p w14:paraId="0E736B99" w14:textId="77777777" w:rsidR="00000000" w:rsidRPr="00536BFB" w:rsidRDefault="00243083">
      <w:pPr>
        <w:spacing w:beforeLines="150" w:before="468"/>
        <w:jc w:val="center"/>
        <w:rPr>
          <w:b/>
          <w:sz w:val="44"/>
          <w:szCs w:val="44"/>
          <w14:shadow w14:blurRad="50800" w14:dist="38100" w14:dir="2700000" w14:sx="100000" w14:sy="100000" w14:kx="0" w14:ky="0" w14:algn="tl">
            <w14:srgbClr w14:val="000000">
              <w14:alpha w14:val="60000"/>
            </w14:srgbClr>
          </w14:shadow>
        </w:rPr>
      </w:pPr>
      <w:r w:rsidRPr="00536BFB">
        <w:rPr>
          <w:b/>
          <w:sz w:val="44"/>
          <w:szCs w:val="44"/>
          <w14:shadow w14:blurRad="50800" w14:dist="38100" w14:dir="2700000" w14:sx="100000" w14:sy="100000" w14:kx="0" w14:ky="0" w14:algn="tl">
            <w14:srgbClr w14:val="000000">
              <w14:alpha w14:val="60000"/>
            </w14:srgbClr>
          </w14:shadow>
        </w:rPr>
        <w:t>3</w:t>
      </w:r>
      <w:r w:rsidRPr="00536BFB">
        <w:rPr>
          <w:b/>
          <w:sz w:val="44"/>
          <w:szCs w:val="44"/>
          <w14:shadow w14:blurRad="50800" w14:dist="38100" w14:dir="2700000" w14:sx="100000" w14:sy="100000" w14:kx="0" w14:ky="0" w14:algn="tl">
            <w14:srgbClr w14:val="000000">
              <w14:alpha w14:val="60000"/>
            </w14:srgbClr>
          </w14:shadow>
        </w:rPr>
        <w:t>号</w:t>
      </w:r>
      <w:r w:rsidRPr="00536BFB">
        <w:rPr>
          <w:b/>
          <w:sz w:val="44"/>
          <w:szCs w:val="44"/>
          <w14:shadow w14:blurRad="50800" w14:dist="38100" w14:dir="2700000" w14:sx="100000" w14:sy="100000" w14:kx="0" w14:ky="0" w14:algn="tl">
            <w14:srgbClr w14:val="000000">
              <w14:alpha w14:val="60000"/>
            </w14:srgbClr>
          </w14:shadow>
        </w:rPr>
        <w:t xml:space="preserve"> – </w:t>
      </w:r>
      <w:r w:rsidRPr="00536BFB">
        <w:rPr>
          <w:b/>
          <w:sz w:val="44"/>
          <w:szCs w:val="44"/>
          <w14:shadow w14:blurRad="50800" w14:dist="38100" w14:dir="2700000" w14:sx="100000" w14:sy="100000" w14:kx="0" w14:ky="0" w14:algn="tl">
            <w14:srgbClr w14:val="000000">
              <w14:alpha w14:val="60000"/>
            </w14:srgbClr>
          </w14:shadow>
        </w:rPr>
        <w:t>季度报告</w:t>
      </w:r>
    </w:p>
    <w:p w14:paraId="7CF38DC4" w14:textId="77777777" w:rsidR="00000000" w:rsidRPr="00536BFB" w:rsidRDefault="00243083">
      <w:pPr>
        <w:spacing w:beforeLines="150" w:before="468"/>
        <w:jc w:val="center"/>
        <w:rPr>
          <w:sz w:val="28"/>
          <w:szCs w:val="28"/>
          <w14:shadow w14:blurRad="50800" w14:dist="38100" w14:dir="2700000" w14:sx="100000" w14:sy="100000" w14:kx="0" w14:ky="0" w14:algn="tl">
            <w14:srgbClr w14:val="000000">
              <w14:alpha w14:val="60000"/>
            </w14:srgbClr>
          </w14:shadow>
        </w:rPr>
      </w:pPr>
      <w:r w:rsidRPr="00536BFB">
        <w:rPr>
          <w:sz w:val="28"/>
          <w:szCs w:val="28"/>
          <w14:shadow w14:blurRad="50800" w14:dist="38100" w14:dir="2700000" w14:sx="100000" w14:sy="100000" w14:kx="0" w14:ky="0" w14:algn="tl">
            <w14:srgbClr w14:val="000000">
              <w14:alpha w14:val="60000"/>
            </w14:srgbClr>
          </w14:shadow>
        </w:rPr>
        <w:t>当前版本号</w:t>
      </w:r>
      <w:r w:rsidRPr="00536BFB">
        <w:rPr>
          <w:sz w:val="28"/>
          <w:szCs w:val="28"/>
          <w14:shadow w14:blurRad="50800" w14:dist="38100" w14:dir="2700000" w14:sx="100000" w14:sy="100000" w14:kx="0" w14:ky="0" w14:algn="tl">
            <w14:srgbClr w14:val="000000">
              <w14:alpha w14:val="60000"/>
            </w14:srgbClr>
          </w14:shadow>
        </w:rPr>
        <w:t>V2.</w:t>
      </w:r>
      <w:r w:rsidRPr="00536BFB">
        <w:rPr>
          <w:rFonts w:hint="eastAsia"/>
          <w:sz w:val="28"/>
          <w:szCs w:val="28"/>
          <w14:shadow w14:blurRad="50800" w14:dist="38100" w14:dir="2700000" w14:sx="100000" w14:sy="100000" w14:kx="0" w14:ky="0" w14:algn="tl">
            <w14:srgbClr w14:val="000000">
              <w14:alpha w14:val="60000"/>
            </w14:srgbClr>
          </w14:shadow>
        </w:rPr>
        <w:t>1</w:t>
      </w:r>
    </w:p>
    <w:p w14:paraId="26929975" w14:textId="77777777" w:rsidR="00000000" w:rsidRPr="00536BFB" w:rsidRDefault="00243083">
      <w:pPr>
        <w:spacing w:beforeLines="150" w:before="468"/>
        <w:jc w:val="center"/>
        <w:rPr>
          <w:b/>
          <w:sz w:val="44"/>
          <w:szCs w:val="44"/>
          <w14:shadow w14:blurRad="50800" w14:dist="38100" w14:dir="2700000" w14:sx="100000" w14:sy="100000" w14:kx="0" w14:ky="0" w14:algn="tl">
            <w14:srgbClr w14:val="000000">
              <w14:alpha w14:val="60000"/>
            </w14:srgbClr>
          </w14:shadow>
        </w:rPr>
      </w:pPr>
    </w:p>
    <w:p w14:paraId="6115DDB7" w14:textId="77777777" w:rsidR="00000000" w:rsidRPr="00536BFB" w:rsidRDefault="00243083">
      <w:pPr>
        <w:spacing w:beforeLines="150" w:before="468"/>
        <w:jc w:val="center"/>
        <w:rPr>
          <w:b/>
          <w:sz w:val="44"/>
          <w:szCs w:val="44"/>
          <w14:shadow w14:blurRad="50800" w14:dist="38100" w14:dir="2700000" w14:sx="100000" w14:sy="100000" w14:kx="0" w14:ky="0" w14:algn="tl">
            <w14:srgbClr w14:val="000000">
              <w14:alpha w14:val="60000"/>
            </w14:srgbClr>
          </w14:shadow>
        </w:rPr>
      </w:pPr>
    </w:p>
    <w:p w14:paraId="1EE7A8DF" w14:textId="77777777" w:rsidR="00000000" w:rsidRPr="00536BFB" w:rsidRDefault="00243083">
      <w:pPr>
        <w:spacing w:beforeLines="150" w:before="468"/>
        <w:jc w:val="center"/>
        <w:rPr>
          <w:b/>
          <w:sz w:val="44"/>
          <w:szCs w:val="44"/>
          <w14:shadow w14:blurRad="50800" w14:dist="38100" w14:dir="2700000" w14:sx="100000" w14:sy="100000" w14:kx="0" w14:ky="0" w14:algn="tl">
            <w14:srgbClr w14:val="000000">
              <w14:alpha w14:val="60000"/>
            </w14:srgbClr>
          </w14:shadow>
        </w:rPr>
      </w:pPr>
    </w:p>
    <w:p w14:paraId="3846425D" w14:textId="77777777" w:rsidR="00000000" w:rsidRDefault="00243083">
      <w:pPr>
        <w:jc w:val="center"/>
        <w:rPr>
          <w:b/>
        </w:rPr>
      </w:pPr>
      <w:r>
        <w:rPr>
          <w:b/>
          <w:bCs/>
          <w:sz w:val="28"/>
        </w:rPr>
        <w:t>文档版本历史表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84"/>
        <w:gridCol w:w="1455"/>
        <w:gridCol w:w="5045"/>
      </w:tblGrid>
      <w:tr w:rsidR="00000000" w14:paraId="036705D1" w14:textId="77777777">
        <w:trPr>
          <w:jc w:val="center"/>
        </w:trPr>
        <w:tc>
          <w:tcPr>
            <w:tcW w:w="900" w:type="dxa"/>
            <w:shd w:val="clear" w:color="000000" w:fill="E6E6E6"/>
            <w:vAlign w:val="center"/>
          </w:tcPr>
          <w:p w14:paraId="7A6CAAF8" w14:textId="77777777" w:rsidR="00000000" w:rsidRDefault="00243083">
            <w:pPr>
              <w:jc w:val="center"/>
              <w:rPr>
                <w:b/>
                <w:sz w:val="18"/>
              </w:rPr>
            </w:pPr>
            <w:r>
              <w:rPr>
                <w:b/>
                <w:sz w:val="18"/>
              </w:rPr>
              <w:t>版本号</w:t>
            </w:r>
          </w:p>
        </w:tc>
        <w:tc>
          <w:tcPr>
            <w:tcW w:w="784" w:type="dxa"/>
            <w:shd w:val="clear" w:color="000000" w:fill="E6E6E6"/>
            <w:vAlign w:val="center"/>
          </w:tcPr>
          <w:p w14:paraId="35E7ED59" w14:textId="77777777" w:rsidR="00000000" w:rsidRDefault="00243083">
            <w:pPr>
              <w:jc w:val="center"/>
              <w:rPr>
                <w:b/>
                <w:sz w:val="18"/>
              </w:rPr>
            </w:pPr>
            <w:r>
              <w:rPr>
                <w:b/>
                <w:sz w:val="18"/>
              </w:rPr>
              <w:t>操作</w:t>
            </w:r>
          </w:p>
        </w:tc>
        <w:tc>
          <w:tcPr>
            <w:tcW w:w="1455" w:type="dxa"/>
            <w:shd w:val="clear" w:color="000000" w:fill="E6E6E6"/>
            <w:vAlign w:val="center"/>
          </w:tcPr>
          <w:p w14:paraId="1D892F8C" w14:textId="77777777" w:rsidR="00000000" w:rsidRDefault="00243083">
            <w:pPr>
              <w:jc w:val="center"/>
              <w:rPr>
                <w:b/>
                <w:sz w:val="18"/>
              </w:rPr>
            </w:pPr>
            <w:r>
              <w:rPr>
                <w:b/>
                <w:sz w:val="18"/>
              </w:rPr>
              <w:t>日期</w:t>
            </w:r>
          </w:p>
        </w:tc>
        <w:tc>
          <w:tcPr>
            <w:tcW w:w="5045" w:type="dxa"/>
            <w:shd w:val="clear" w:color="000000" w:fill="E6E6E6"/>
            <w:vAlign w:val="center"/>
          </w:tcPr>
          <w:p w14:paraId="32F1DAE3" w14:textId="77777777" w:rsidR="00000000" w:rsidRDefault="00243083">
            <w:pPr>
              <w:jc w:val="center"/>
              <w:rPr>
                <w:b/>
                <w:sz w:val="18"/>
              </w:rPr>
            </w:pPr>
            <w:r>
              <w:rPr>
                <w:b/>
                <w:sz w:val="18"/>
              </w:rPr>
              <w:t>说明</w:t>
            </w:r>
          </w:p>
        </w:tc>
      </w:tr>
      <w:tr w:rsidR="00000000" w14:paraId="7ED6BE4F" w14:textId="77777777">
        <w:trPr>
          <w:jc w:val="center"/>
        </w:trPr>
        <w:tc>
          <w:tcPr>
            <w:tcW w:w="900" w:type="dxa"/>
          </w:tcPr>
          <w:p w14:paraId="2256E41E" w14:textId="77777777" w:rsidR="00000000" w:rsidRDefault="00243083">
            <w:pPr>
              <w:jc w:val="center"/>
              <w:rPr>
                <w:bCs/>
                <w:sz w:val="18"/>
              </w:rPr>
            </w:pPr>
            <w:r>
              <w:rPr>
                <w:sz w:val="18"/>
              </w:rPr>
              <w:t>V1.0</w:t>
            </w:r>
          </w:p>
        </w:tc>
        <w:tc>
          <w:tcPr>
            <w:tcW w:w="784" w:type="dxa"/>
          </w:tcPr>
          <w:p w14:paraId="7A7A076C" w14:textId="77777777" w:rsidR="00000000" w:rsidRDefault="00243083">
            <w:pPr>
              <w:jc w:val="center"/>
              <w:rPr>
                <w:bCs/>
                <w:sz w:val="18"/>
              </w:rPr>
            </w:pPr>
            <w:r>
              <w:rPr>
                <w:bCs/>
                <w:sz w:val="18"/>
              </w:rPr>
              <w:t>改写</w:t>
            </w:r>
          </w:p>
        </w:tc>
        <w:tc>
          <w:tcPr>
            <w:tcW w:w="1455" w:type="dxa"/>
          </w:tcPr>
          <w:p w14:paraId="367BA0BD" w14:textId="77777777" w:rsidR="00000000" w:rsidRDefault="00243083">
            <w:pPr>
              <w:jc w:val="center"/>
              <w:rPr>
                <w:bCs/>
                <w:sz w:val="18"/>
              </w:rPr>
            </w:pPr>
            <w:r>
              <w:rPr>
                <w:bCs/>
                <w:sz w:val="18"/>
              </w:rPr>
              <w:t>2009-5-11</w:t>
            </w:r>
          </w:p>
        </w:tc>
        <w:tc>
          <w:tcPr>
            <w:tcW w:w="5045" w:type="dxa"/>
          </w:tcPr>
          <w:p w14:paraId="3FD238B8" w14:textId="77777777" w:rsidR="00000000" w:rsidRDefault="00243083">
            <w:pPr>
              <w:rPr>
                <w:bCs/>
                <w:sz w:val="18"/>
              </w:rPr>
            </w:pPr>
            <w:r>
              <w:rPr>
                <w:bCs/>
                <w:sz w:val="18"/>
              </w:rPr>
              <w:t>根据原技术指引改写</w:t>
            </w:r>
          </w:p>
        </w:tc>
      </w:tr>
      <w:tr w:rsidR="00000000" w14:paraId="19EAA82D" w14:textId="77777777">
        <w:trPr>
          <w:jc w:val="center"/>
        </w:trPr>
        <w:tc>
          <w:tcPr>
            <w:tcW w:w="900" w:type="dxa"/>
          </w:tcPr>
          <w:p w14:paraId="0F4FEA3E" w14:textId="77777777" w:rsidR="00000000" w:rsidRDefault="00243083">
            <w:pPr>
              <w:jc w:val="center"/>
              <w:rPr>
                <w:sz w:val="18"/>
              </w:rPr>
            </w:pPr>
            <w:r>
              <w:rPr>
                <w:sz w:val="18"/>
              </w:rPr>
              <w:t>V1.1</w:t>
            </w:r>
          </w:p>
        </w:tc>
        <w:tc>
          <w:tcPr>
            <w:tcW w:w="784" w:type="dxa"/>
          </w:tcPr>
          <w:p w14:paraId="07DA04A6" w14:textId="77777777" w:rsidR="00000000" w:rsidRDefault="00243083">
            <w:pPr>
              <w:jc w:val="center"/>
              <w:rPr>
                <w:bCs/>
                <w:sz w:val="18"/>
              </w:rPr>
            </w:pPr>
            <w:r>
              <w:rPr>
                <w:bCs/>
                <w:sz w:val="18"/>
              </w:rPr>
              <w:t>修订</w:t>
            </w:r>
          </w:p>
        </w:tc>
        <w:tc>
          <w:tcPr>
            <w:tcW w:w="1455" w:type="dxa"/>
          </w:tcPr>
          <w:p w14:paraId="51F109A7" w14:textId="77777777" w:rsidR="00000000" w:rsidRDefault="00243083">
            <w:pPr>
              <w:jc w:val="center"/>
              <w:rPr>
                <w:bCs/>
                <w:sz w:val="18"/>
              </w:rPr>
            </w:pPr>
            <w:r>
              <w:rPr>
                <w:bCs/>
                <w:sz w:val="18"/>
              </w:rPr>
              <w:t>2009-7-22</w:t>
            </w:r>
          </w:p>
        </w:tc>
        <w:tc>
          <w:tcPr>
            <w:tcW w:w="5045" w:type="dxa"/>
          </w:tcPr>
          <w:p w14:paraId="270C3219" w14:textId="77777777" w:rsidR="00000000" w:rsidRDefault="00243083">
            <w:pPr>
              <w:rPr>
                <w:bCs/>
                <w:sz w:val="18"/>
              </w:rPr>
            </w:pPr>
            <w:r>
              <w:rPr>
                <w:bCs/>
                <w:sz w:val="18"/>
              </w:rPr>
              <w:t>修改业务规则</w:t>
            </w:r>
          </w:p>
        </w:tc>
      </w:tr>
      <w:tr w:rsidR="00000000" w14:paraId="34A46BE4" w14:textId="77777777">
        <w:trPr>
          <w:jc w:val="center"/>
        </w:trPr>
        <w:tc>
          <w:tcPr>
            <w:tcW w:w="900" w:type="dxa"/>
          </w:tcPr>
          <w:p w14:paraId="5A427793" w14:textId="77777777" w:rsidR="00000000" w:rsidRDefault="00243083">
            <w:pPr>
              <w:jc w:val="center"/>
              <w:rPr>
                <w:sz w:val="18"/>
              </w:rPr>
            </w:pPr>
            <w:r>
              <w:rPr>
                <w:sz w:val="18"/>
              </w:rPr>
              <w:t>V1.2</w:t>
            </w:r>
          </w:p>
        </w:tc>
        <w:tc>
          <w:tcPr>
            <w:tcW w:w="784" w:type="dxa"/>
          </w:tcPr>
          <w:p w14:paraId="42F22934" w14:textId="77777777" w:rsidR="00000000" w:rsidRDefault="00243083">
            <w:pPr>
              <w:jc w:val="center"/>
              <w:rPr>
                <w:bCs/>
                <w:sz w:val="18"/>
              </w:rPr>
            </w:pPr>
            <w:r>
              <w:rPr>
                <w:bCs/>
                <w:sz w:val="18"/>
              </w:rPr>
              <w:t>修订</w:t>
            </w:r>
          </w:p>
        </w:tc>
        <w:tc>
          <w:tcPr>
            <w:tcW w:w="1455" w:type="dxa"/>
          </w:tcPr>
          <w:p w14:paraId="5F2391D2" w14:textId="77777777" w:rsidR="00000000" w:rsidRDefault="00243083">
            <w:pPr>
              <w:jc w:val="center"/>
              <w:rPr>
                <w:bCs/>
                <w:sz w:val="18"/>
              </w:rPr>
            </w:pPr>
            <w:r>
              <w:rPr>
                <w:bCs/>
                <w:sz w:val="18"/>
              </w:rPr>
              <w:t>2011-6-9</w:t>
            </w:r>
          </w:p>
        </w:tc>
        <w:tc>
          <w:tcPr>
            <w:tcW w:w="5045" w:type="dxa"/>
          </w:tcPr>
          <w:p w14:paraId="729E0EA3" w14:textId="77777777" w:rsidR="00000000" w:rsidRDefault="00243083">
            <w:pPr>
              <w:rPr>
                <w:bCs/>
                <w:sz w:val="18"/>
              </w:rPr>
            </w:pPr>
            <w:r>
              <w:rPr>
                <w:bCs/>
                <w:sz w:val="18"/>
              </w:rPr>
              <w:t>增加关于</w:t>
            </w:r>
            <w:r>
              <w:rPr>
                <w:bCs/>
                <w:sz w:val="18"/>
              </w:rPr>
              <w:t>“</w:t>
            </w:r>
            <w:r>
              <w:rPr>
                <w:bCs/>
                <w:sz w:val="18"/>
              </w:rPr>
              <w:t>报告期末按债券品种分类的债券投资组合</w:t>
            </w:r>
            <w:r>
              <w:rPr>
                <w:bCs/>
                <w:sz w:val="18"/>
              </w:rPr>
              <w:t>”</w:t>
            </w:r>
            <w:r>
              <w:rPr>
                <w:bCs/>
                <w:sz w:val="18"/>
              </w:rPr>
              <w:t>的填列</w:t>
            </w:r>
          </w:p>
        </w:tc>
      </w:tr>
      <w:tr w:rsidR="00000000" w14:paraId="21190550" w14:textId="77777777">
        <w:trPr>
          <w:trHeight w:val="20"/>
          <w:jc w:val="center"/>
        </w:trPr>
        <w:tc>
          <w:tcPr>
            <w:tcW w:w="900" w:type="dxa"/>
          </w:tcPr>
          <w:p w14:paraId="22CBDA3A" w14:textId="77777777" w:rsidR="00000000" w:rsidRDefault="00243083">
            <w:pPr>
              <w:jc w:val="center"/>
              <w:rPr>
                <w:sz w:val="18"/>
              </w:rPr>
            </w:pPr>
            <w:r>
              <w:rPr>
                <w:sz w:val="18"/>
              </w:rPr>
              <w:t>V1.3</w:t>
            </w:r>
          </w:p>
        </w:tc>
        <w:tc>
          <w:tcPr>
            <w:tcW w:w="784" w:type="dxa"/>
          </w:tcPr>
          <w:p w14:paraId="017FB918" w14:textId="77777777" w:rsidR="00000000" w:rsidRDefault="00243083">
            <w:pPr>
              <w:jc w:val="center"/>
              <w:rPr>
                <w:bCs/>
                <w:sz w:val="18"/>
              </w:rPr>
            </w:pPr>
            <w:r>
              <w:rPr>
                <w:bCs/>
                <w:sz w:val="18"/>
              </w:rPr>
              <w:t>修订</w:t>
            </w:r>
          </w:p>
        </w:tc>
        <w:tc>
          <w:tcPr>
            <w:tcW w:w="1455" w:type="dxa"/>
          </w:tcPr>
          <w:p w14:paraId="1BEC6EEA" w14:textId="77777777" w:rsidR="00000000" w:rsidRDefault="00243083">
            <w:pPr>
              <w:jc w:val="center"/>
              <w:rPr>
                <w:bCs/>
                <w:sz w:val="18"/>
              </w:rPr>
            </w:pPr>
            <w:r>
              <w:rPr>
                <w:bCs/>
                <w:sz w:val="18"/>
              </w:rPr>
              <w:t>2012-1-10</w:t>
            </w:r>
          </w:p>
        </w:tc>
        <w:tc>
          <w:tcPr>
            <w:tcW w:w="5045" w:type="dxa"/>
          </w:tcPr>
          <w:p w14:paraId="5867CC64" w14:textId="77777777" w:rsidR="00000000" w:rsidRDefault="00243083">
            <w:pPr>
              <w:rPr>
                <w:bCs/>
                <w:sz w:val="18"/>
              </w:rPr>
            </w:pPr>
            <w:r>
              <w:rPr>
                <w:bCs/>
                <w:sz w:val="18"/>
              </w:rPr>
              <w:t>修改关于</w:t>
            </w:r>
            <w:r>
              <w:rPr>
                <w:bCs/>
                <w:sz w:val="18"/>
              </w:rPr>
              <w:t>“</w:t>
            </w:r>
            <w:r>
              <w:rPr>
                <w:bCs/>
                <w:sz w:val="18"/>
              </w:rPr>
              <w:t>报告期末按债券品种分类的债券投资组合</w:t>
            </w:r>
            <w:r>
              <w:rPr>
                <w:bCs/>
                <w:sz w:val="18"/>
              </w:rPr>
              <w:t>”</w:t>
            </w:r>
            <w:r>
              <w:rPr>
                <w:bCs/>
                <w:sz w:val="18"/>
              </w:rPr>
              <w:t>的业务规则，增加关于</w:t>
            </w:r>
            <w:r>
              <w:rPr>
                <w:bCs/>
                <w:sz w:val="18"/>
              </w:rPr>
              <w:t>“</w:t>
            </w:r>
            <w:r>
              <w:rPr>
                <w:bCs/>
                <w:sz w:val="18"/>
              </w:rPr>
              <w:t>中期票据</w:t>
            </w:r>
            <w:r>
              <w:rPr>
                <w:bCs/>
                <w:sz w:val="18"/>
              </w:rPr>
              <w:t>”</w:t>
            </w:r>
            <w:r>
              <w:rPr>
                <w:bCs/>
                <w:sz w:val="18"/>
              </w:rPr>
              <w:t>的验证</w:t>
            </w:r>
          </w:p>
        </w:tc>
      </w:tr>
      <w:tr w:rsidR="00000000" w14:paraId="1CE5ED19" w14:textId="77777777">
        <w:trPr>
          <w:trHeight w:val="20"/>
          <w:jc w:val="center"/>
        </w:trPr>
        <w:tc>
          <w:tcPr>
            <w:tcW w:w="900" w:type="dxa"/>
          </w:tcPr>
          <w:p w14:paraId="57ED9C49" w14:textId="77777777" w:rsidR="00000000" w:rsidRDefault="00243083">
            <w:pPr>
              <w:jc w:val="center"/>
              <w:rPr>
                <w:sz w:val="18"/>
              </w:rPr>
            </w:pPr>
            <w:r>
              <w:rPr>
                <w:sz w:val="18"/>
              </w:rPr>
              <w:t>V1.4</w:t>
            </w:r>
          </w:p>
        </w:tc>
        <w:tc>
          <w:tcPr>
            <w:tcW w:w="784" w:type="dxa"/>
          </w:tcPr>
          <w:p w14:paraId="51918EA2" w14:textId="77777777" w:rsidR="00000000" w:rsidRDefault="00243083">
            <w:pPr>
              <w:jc w:val="center"/>
              <w:rPr>
                <w:bCs/>
                <w:sz w:val="18"/>
              </w:rPr>
            </w:pPr>
            <w:r>
              <w:rPr>
                <w:bCs/>
                <w:sz w:val="18"/>
              </w:rPr>
              <w:t>修订</w:t>
            </w:r>
          </w:p>
        </w:tc>
        <w:tc>
          <w:tcPr>
            <w:tcW w:w="1455" w:type="dxa"/>
          </w:tcPr>
          <w:p w14:paraId="5819CF31" w14:textId="77777777" w:rsidR="00000000" w:rsidRDefault="00243083">
            <w:pPr>
              <w:jc w:val="center"/>
              <w:rPr>
                <w:bCs/>
                <w:sz w:val="18"/>
              </w:rPr>
            </w:pPr>
            <w:r>
              <w:rPr>
                <w:bCs/>
                <w:sz w:val="18"/>
              </w:rPr>
              <w:t>2012-5-4</w:t>
            </w:r>
          </w:p>
        </w:tc>
        <w:tc>
          <w:tcPr>
            <w:tcW w:w="5045" w:type="dxa"/>
          </w:tcPr>
          <w:p w14:paraId="712E6BAE" w14:textId="77777777" w:rsidR="00000000" w:rsidRDefault="00243083">
            <w:pPr>
              <w:rPr>
                <w:bCs/>
                <w:sz w:val="18"/>
              </w:rPr>
            </w:pPr>
            <w:r>
              <w:rPr>
                <w:bCs/>
                <w:sz w:val="18"/>
              </w:rPr>
              <w:t>修改关于公平交易</w:t>
            </w:r>
            <w:r>
              <w:rPr>
                <w:bCs/>
                <w:sz w:val="18"/>
              </w:rPr>
              <w:t>部分披露事项，减少删除部分说明</w:t>
            </w:r>
          </w:p>
        </w:tc>
      </w:tr>
      <w:tr w:rsidR="00000000" w14:paraId="15F2AAC8" w14:textId="77777777">
        <w:trPr>
          <w:trHeight w:val="20"/>
          <w:jc w:val="center"/>
        </w:trPr>
        <w:tc>
          <w:tcPr>
            <w:tcW w:w="900" w:type="dxa"/>
          </w:tcPr>
          <w:p w14:paraId="3BC5875D" w14:textId="77777777" w:rsidR="00000000" w:rsidRDefault="00243083">
            <w:pPr>
              <w:jc w:val="center"/>
              <w:rPr>
                <w:bCs/>
                <w:sz w:val="18"/>
              </w:rPr>
            </w:pPr>
            <w:r>
              <w:rPr>
                <w:bCs/>
                <w:sz w:val="18"/>
              </w:rPr>
              <w:t>V1.5</w:t>
            </w:r>
          </w:p>
        </w:tc>
        <w:tc>
          <w:tcPr>
            <w:tcW w:w="784" w:type="dxa"/>
          </w:tcPr>
          <w:p w14:paraId="23E6C5DE" w14:textId="77777777" w:rsidR="00000000" w:rsidRDefault="00243083">
            <w:pPr>
              <w:jc w:val="center"/>
              <w:rPr>
                <w:bCs/>
                <w:sz w:val="18"/>
              </w:rPr>
            </w:pPr>
            <w:r>
              <w:rPr>
                <w:bCs/>
                <w:sz w:val="18"/>
              </w:rPr>
              <w:t>修订</w:t>
            </w:r>
          </w:p>
        </w:tc>
        <w:tc>
          <w:tcPr>
            <w:tcW w:w="1455" w:type="dxa"/>
          </w:tcPr>
          <w:p w14:paraId="67418946" w14:textId="77777777" w:rsidR="00000000" w:rsidRDefault="00243083">
            <w:pPr>
              <w:jc w:val="center"/>
              <w:rPr>
                <w:bCs/>
                <w:sz w:val="18"/>
              </w:rPr>
            </w:pPr>
            <w:r>
              <w:rPr>
                <w:bCs/>
                <w:sz w:val="18"/>
              </w:rPr>
              <w:t>2012/7/12</w:t>
            </w:r>
          </w:p>
        </w:tc>
        <w:tc>
          <w:tcPr>
            <w:tcW w:w="5045" w:type="dxa"/>
          </w:tcPr>
          <w:p w14:paraId="583C2209" w14:textId="77777777" w:rsidR="00000000" w:rsidRDefault="00243083">
            <w:pPr>
              <w:jc w:val="left"/>
              <w:rPr>
                <w:bCs/>
                <w:sz w:val="18"/>
              </w:rPr>
            </w:pPr>
            <w:r>
              <w:rPr>
                <w:bCs/>
                <w:sz w:val="18"/>
              </w:rPr>
              <w:t>增加关于短期理财债券型基金的报送说明；创新封闭式基金修改为分级基金</w:t>
            </w:r>
          </w:p>
        </w:tc>
      </w:tr>
      <w:tr w:rsidR="00000000" w14:paraId="51C0A6F4" w14:textId="77777777">
        <w:trPr>
          <w:trHeight w:val="20"/>
          <w:jc w:val="center"/>
        </w:trPr>
        <w:tc>
          <w:tcPr>
            <w:tcW w:w="900" w:type="dxa"/>
          </w:tcPr>
          <w:p w14:paraId="198E89A2" w14:textId="77777777" w:rsidR="00000000" w:rsidRDefault="00243083">
            <w:pPr>
              <w:jc w:val="center"/>
              <w:rPr>
                <w:bCs/>
                <w:sz w:val="18"/>
              </w:rPr>
            </w:pPr>
            <w:r>
              <w:rPr>
                <w:bCs/>
                <w:sz w:val="18"/>
              </w:rPr>
              <w:t>V2.0</w:t>
            </w:r>
          </w:p>
        </w:tc>
        <w:tc>
          <w:tcPr>
            <w:tcW w:w="784" w:type="dxa"/>
          </w:tcPr>
          <w:p w14:paraId="0C42D090" w14:textId="77777777" w:rsidR="00000000" w:rsidRDefault="00243083">
            <w:pPr>
              <w:jc w:val="center"/>
              <w:rPr>
                <w:bCs/>
                <w:sz w:val="18"/>
              </w:rPr>
            </w:pPr>
            <w:r>
              <w:rPr>
                <w:bCs/>
                <w:sz w:val="18"/>
              </w:rPr>
              <w:t>修订</w:t>
            </w:r>
          </w:p>
        </w:tc>
        <w:tc>
          <w:tcPr>
            <w:tcW w:w="1455" w:type="dxa"/>
          </w:tcPr>
          <w:p w14:paraId="7A47ED70" w14:textId="77777777" w:rsidR="00000000" w:rsidRDefault="00243083">
            <w:pPr>
              <w:jc w:val="center"/>
              <w:rPr>
                <w:bCs/>
                <w:sz w:val="18"/>
              </w:rPr>
            </w:pPr>
            <w:r>
              <w:rPr>
                <w:bCs/>
                <w:sz w:val="18"/>
              </w:rPr>
              <w:t>2012/10/10</w:t>
            </w:r>
          </w:p>
        </w:tc>
        <w:tc>
          <w:tcPr>
            <w:tcW w:w="5045" w:type="dxa"/>
          </w:tcPr>
          <w:p w14:paraId="346CECAE" w14:textId="77777777" w:rsidR="00000000" w:rsidRDefault="00243083">
            <w:pPr>
              <w:rPr>
                <w:bCs/>
                <w:sz w:val="18"/>
              </w:rPr>
            </w:pPr>
            <w:r>
              <w:rPr>
                <w:bCs/>
                <w:sz w:val="18"/>
              </w:rPr>
              <w:t>统一短期理财债券型基金类型名称；将校验规则独立成文</w:t>
            </w:r>
            <w:r>
              <w:rPr>
                <w:bCs/>
                <w:sz w:val="18"/>
              </w:rPr>
              <w:t xml:space="preserve"> </w:t>
            </w:r>
          </w:p>
        </w:tc>
      </w:tr>
      <w:tr w:rsidR="00000000" w14:paraId="5184B0A9" w14:textId="77777777">
        <w:trPr>
          <w:trHeight w:val="20"/>
          <w:jc w:val="center"/>
        </w:trPr>
        <w:tc>
          <w:tcPr>
            <w:tcW w:w="900" w:type="dxa"/>
          </w:tcPr>
          <w:p w14:paraId="66D1AD03" w14:textId="77777777" w:rsidR="00000000" w:rsidRDefault="00243083">
            <w:pPr>
              <w:jc w:val="center"/>
              <w:rPr>
                <w:bCs/>
                <w:sz w:val="18"/>
              </w:rPr>
            </w:pPr>
            <w:r>
              <w:rPr>
                <w:bCs/>
                <w:sz w:val="18"/>
              </w:rPr>
              <w:t>V2.</w:t>
            </w:r>
            <w:r>
              <w:rPr>
                <w:rFonts w:hint="eastAsia"/>
                <w:bCs/>
                <w:sz w:val="18"/>
              </w:rPr>
              <w:t>1</w:t>
            </w:r>
          </w:p>
        </w:tc>
        <w:tc>
          <w:tcPr>
            <w:tcW w:w="784" w:type="dxa"/>
          </w:tcPr>
          <w:p w14:paraId="14E74C25" w14:textId="77777777" w:rsidR="00000000" w:rsidRDefault="00243083">
            <w:pPr>
              <w:jc w:val="center"/>
              <w:rPr>
                <w:bCs/>
                <w:sz w:val="18"/>
              </w:rPr>
            </w:pPr>
            <w:r>
              <w:rPr>
                <w:bCs/>
                <w:sz w:val="18"/>
              </w:rPr>
              <w:t>修订</w:t>
            </w:r>
          </w:p>
        </w:tc>
        <w:tc>
          <w:tcPr>
            <w:tcW w:w="1455" w:type="dxa"/>
          </w:tcPr>
          <w:p w14:paraId="0860EB2E" w14:textId="77777777" w:rsidR="00000000" w:rsidRDefault="00243083">
            <w:pPr>
              <w:jc w:val="center"/>
              <w:rPr>
                <w:bCs/>
                <w:sz w:val="18"/>
              </w:rPr>
            </w:pPr>
            <w:r>
              <w:rPr>
                <w:bCs/>
                <w:sz w:val="18"/>
              </w:rPr>
              <w:t>201</w:t>
            </w:r>
            <w:r>
              <w:rPr>
                <w:rFonts w:hint="eastAsia"/>
                <w:bCs/>
                <w:sz w:val="18"/>
              </w:rPr>
              <w:t>7</w:t>
            </w:r>
            <w:r>
              <w:rPr>
                <w:bCs/>
                <w:sz w:val="18"/>
              </w:rPr>
              <w:t>/</w:t>
            </w:r>
            <w:r>
              <w:rPr>
                <w:rFonts w:hint="eastAsia"/>
                <w:bCs/>
                <w:sz w:val="18"/>
              </w:rPr>
              <w:t>5</w:t>
            </w:r>
            <w:r>
              <w:rPr>
                <w:bCs/>
                <w:sz w:val="18"/>
              </w:rPr>
              <w:t>/1</w:t>
            </w:r>
            <w:r>
              <w:rPr>
                <w:rFonts w:hint="eastAsia"/>
                <w:bCs/>
                <w:sz w:val="18"/>
              </w:rPr>
              <w:t>8</w:t>
            </w:r>
          </w:p>
        </w:tc>
        <w:tc>
          <w:tcPr>
            <w:tcW w:w="5045" w:type="dxa"/>
          </w:tcPr>
          <w:p w14:paraId="092AFEFC" w14:textId="77777777" w:rsidR="00000000" w:rsidRDefault="00243083">
            <w:pPr>
              <w:rPr>
                <w:bCs/>
                <w:sz w:val="18"/>
              </w:rPr>
            </w:pPr>
            <w:r>
              <w:rPr>
                <w:rFonts w:hint="eastAsia"/>
                <w:bCs/>
                <w:sz w:val="18"/>
              </w:rPr>
              <w:t>修订</w:t>
            </w:r>
            <w:r>
              <w:rPr>
                <w:bCs/>
                <w:sz w:val="18"/>
              </w:rPr>
              <w:t xml:space="preserve"> </w:t>
            </w:r>
          </w:p>
        </w:tc>
      </w:tr>
    </w:tbl>
    <w:p w14:paraId="6A7A1630" w14:textId="77777777" w:rsidR="00000000" w:rsidRDefault="00243083">
      <w:r>
        <w:br w:type="page"/>
      </w:r>
    </w:p>
    <w:p w14:paraId="68B224A0" w14:textId="77777777" w:rsidR="00000000" w:rsidRDefault="00243083">
      <w:pPr>
        <w:widowControl/>
        <w:autoSpaceDE w:val="0"/>
        <w:autoSpaceDN w:val="0"/>
        <w:jc w:val="center"/>
        <w:textAlignment w:val="bottom"/>
        <w:rPr>
          <w:b/>
          <w:sz w:val="44"/>
          <w:szCs w:val="44"/>
        </w:rPr>
      </w:pPr>
      <w:bookmarkStart w:id="0" w:name="_Toc119677984"/>
      <w:r>
        <w:rPr>
          <w:b/>
          <w:sz w:val="44"/>
          <w:szCs w:val="44"/>
        </w:rPr>
        <w:t>目录</w:t>
      </w:r>
      <w:bookmarkEnd w:id="0"/>
    </w:p>
    <w:p w14:paraId="1533EB44" w14:textId="77777777" w:rsidR="00000000" w:rsidRDefault="00243083">
      <w:pPr>
        <w:widowControl/>
        <w:autoSpaceDE w:val="0"/>
        <w:autoSpaceDN w:val="0"/>
        <w:jc w:val="center"/>
        <w:textAlignment w:val="bottom"/>
        <w:rPr>
          <w:b/>
          <w:sz w:val="44"/>
          <w:szCs w:val="44"/>
        </w:rPr>
      </w:pPr>
    </w:p>
    <w:p w14:paraId="03D53AB7" w14:textId="77777777" w:rsidR="00000000" w:rsidRDefault="00243083">
      <w:pPr>
        <w:pStyle w:val="TOC1"/>
        <w:rPr>
          <w:szCs w:val="22"/>
          <w:lang w:eastAsia="zh-CN"/>
        </w:rPr>
      </w:pPr>
      <w:r>
        <w:fldChar w:fldCharType="begin"/>
      </w:r>
      <w:r>
        <w:instrText xml:space="preserve"> TOC \o "1-3" \h \z \u </w:instrText>
      </w:r>
      <w:r>
        <w:fldChar w:fldCharType="separate"/>
      </w:r>
      <w:hyperlink w:anchor="_Toc337538963" w:history="1">
        <w:r>
          <w:rPr>
            <w:rStyle w:val="Hyperlink"/>
            <w:lang w:eastAsia="zh-CN"/>
          </w:rPr>
          <w:t>1</w:t>
        </w:r>
        <w:r>
          <w:rPr>
            <w:szCs w:val="22"/>
            <w:lang w:eastAsia="zh-CN"/>
          </w:rPr>
          <w:tab/>
        </w:r>
        <w:r>
          <w:rPr>
            <w:rStyle w:val="Hyperlink"/>
            <w:lang w:eastAsia="zh-CN"/>
          </w:rPr>
          <w:t>参考的技术文档</w:t>
        </w:r>
        <w:r>
          <w:rPr>
            <w:lang w:eastAsia="zh-CN"/>
          </w:rPr>
          <w:tab/>
        </w:r>
        <w:r>
          <w:rPr>
            <w:lang w:eastAsia="zh-CN"/>
          </w:rPr>
          <w:fldChar w:fldCharType="begin"/>
        </w:r>
        <w:r>
          <w:rPr>
            <w:lang w:eastAsia="zh-CN"/>
          </w:rPr>
          <w:instrText xml:space="preserve"> PAGEREF _Toc337538963 \h </w:instrText>
        </w:r>
        <w:r>
          <w:rPr>
            <w:lang w:eastAsia="zh-CN"/>
          </w:rPr>
          <w:fldChar w:fldCharType="separate"/>
        </w:r>
        <w:r>
          <w:rPr>
            <w:lang w:eastAsia="zh-CN"/>
          </w:rPr>
          <w:t>3</w:t>
        </w:r>
        <w:r>
          <w:rPr>
            <w:lang w:eastAsia="zh-CN"/>
          </w:rPr>
          <w:fldChar w:fldCharType="end"/>
        </w:r>
      </w:hyperlink>
    </w:p>
    <w:p w14:paraId="263A3C00" w14:textId="77777777" w:rsidR="00000000" w:rsidRDefault="00243083">
      <w:pPr>
        <w:pStyle w:val="TOC1"/>
        <w:rPr>
          <w:szCs w:val="22"/>
          <w:lang w:eastAsia="zh-CN"/>
        </w:rPr>
      </w:pPr>
      <w:hyperlink w:anchor="_Toc337538964" w:history="1">
        <w:r>
          <w:rPr>
            <w:rStyle w:val="Hyperlink"/>
            <w:lang w:eastAsia="zh-CN"/>
          </w:rPr>
          <w:t>2</w:t>
        </w:r>
        <w:r>
          <w:rPr>
            <w:szCs w:val="22"/>
            <w:lang w:eastAsia="zh-CN"/>
          </w:rPr>
          <w:tab/>
        </w:r>
        <w:r>
          <w:rPr>
            <w:rStyle w:val="Hyperlink"/>
            <w:lang w:eastAsia="zh-CN"/>
          </w:rPr>
          <w:t>说明</w:t>
        </w:r>
        <w:r>
          <w:rPr>
            <w:lang w:eastAsia="zh-CN"/>
          </w:rPr>
          <w:tab/>
        </w:r>
        <w:r>
          <w:rPr>
            <w:lang w:eastAsia="zh-CN"/>
          </w:rPr>
          <w:fldChar w:fldCharType="begin"/>
        </w:r>
        <w:r>
          <w:rPr>
            <w:lang w:eastAsia="zh-CN"/>
          </w:rPr>
          <w:instrText xml:space="preserve"> PAGEREF _Toc337538964 \h </w:instrText>
        </w:r>
        <w:r>
          <w:rPr>
            <w:lang w:eastAsia="zh-CN"/>
          </w:rPr>
          <w:fldChar w:fldCharType="separate"/>
        </w:r>
        <w:r>
          <w:rPr>
            <w:lang w:eastAsia="zh-CN"/>
          </w:rPr>
          <w:t>3</w:t>
        </w:r>
        <w:r>
          <w:rPr>
            <w:lang w:eastAsia="zh-CN"/>
          </w:rPr>
          <w:fldChar w:fldCharType="end"/>
        </w:r>
      </w:hyperlink>
    </w:p>
    <w:p w14:paraId="231C8459" w14:textId="77777777" w:rsidR="00000000" w:rsidRDefault="00243083">
      <w:pPr>
        <w:pStyle w:val="TOC1"/>
        <w:rPr>
          <w:szCs w:val="22"/>
          <w:lang w:eastAsia="zh-CN"/>
        </w:rPr>
      </w:pPr>
      <w:hyperlink w:anchor="_Toc337538965" w:history="1">
        <w:r>
          <w:rPr>
            <w:rStyle w:val="Hyperlink"/>
            <w:lang w:eastAsia="zh-CN"/>
          </w:rPr>
          <w:t>3</w:t>
        </w:r>
        <w:r>
          <w:rPr>
            <w:szCs w:val="22"/>
            <w:lang w:eastAsia="zh-CN"/>
          </w:rPr>
          <w:tab/>
        </w:r>
        <w:r>
          <w:rPr>
            <w:rStyle w:val="Hyperlink"/>
            <w:lang w:eastAsia="zh-CN"/>
          </w:rPr>
          <w:t>图的处理</w:t>
        </w:r>
        <w:r>
          <w:rPr>
            <w:lang w:eastAsia="zh-CN"/>
          </w:rPr>
          <w:tab/>
        </w:r>
        <w:r>
          <w:rPr>
            <w:lang w:eastAsia="zh-CN"/>
          </w:rPr>
          <w:fldChar w:fldCharType="begin"/>
        </w:r>
        <w:r>
          <w:rPr>
            <w:lang w:eastAsia="zh-CN"/>
          </w:rPr>
          <w:instrText xml:space="preserve"> PAGEREF _Toc337538965 \h </w:instrText>
        </w:r>
        <w:r>
          <w:rPr>
            <w:lang w:eastAsia="zh-CN"/>
          </w:rPr>
          <w:fldChar w:fldCharType="separate"/>
        </w:r>
        <w:r>
          <w:rPr>
            <w:lang w:eastAsia="zh-CN"/>
          </w:rPr>
          <w:t>3</w:t>
        </w:r>
        <w:r>
          <w:rPr>
            <w:lang w:eastAsia="zh-CN"/>
          </w:rPr>
          <w:fldChar w:fldCharType="end"/>
        </w:r>
      </w:hyperlink>
    </w:p>
    <w:p w14:paraId="180E1497" w14:textId="77777777" w:rsidR="00000000" w:rsidRDefault="00243083">
      <w:pPr>
        <w:pStyle w:val="TOC1"/>
        <w:rPr>
          <w:szCs w:val="22"/>
          <w:lang w:eastAsia="zh-CN"/>
        </w:rPr>
      </w:pPr>
      <w:hyperlink w:anchor="_Toc337538966" w:history="1">
        <w:r>
          <w:rPr>
            <w:rStyle w:val="Hyperlink"/>
            <w:lang w:eastAsia="zh-CN"/>
          </w:rPr>
          <w:t>4</w:t>
        </w:r>
        <w:r>
          <w:rPr>
            <w:szCs w:val="22"/>
            <w:lang w:eastAsia="zh-CN"/>
          </w:rPr>
          <w:tab/>
        </w:r>
        <w:r>
          <w:rPr>
            <w:rStyle w:val="Hyperlink"/>
            <w:lang w:eastAsia="zh-CN"/>
          </w:rPr>
          <w:t>股票投资明细的元素定义提示</w:t>
        </w:r>
        <w:r>
          <w:rPr>
            <w:lang w:eastAsia="zh-CN"/>
          </w:rPr>
          <w:tab/>
        </w:r>
        <w:r>
          <w:rPr>
            <w:lang w:eastAsia="zh-CN"/>
          </w:rPr>
          <w:fldChar w:fldCharType="begin"/>
        </w:r>
        <w:r>
          <w:rPr>
            <w:lang w:eastAsia="zh-CN"/>
          </w:rPr>
          <w:instrText xml:space="preserve"> PAGEREF _Toc337538966 \h </w:instrText>
        </w:r>
        <w:r>
          <w:rPr>
            <w:lang w:eastAsia="zh-CN"/>
          </w:rPr>
          <w:fldChar w:fldCharType="separate"/>
        </w:r>
        <w:r>
          <w:rPr>
            <w:lang w:eastAsia="zh-CN"/>
          </w:rPr>
          <w:t>4</w:t>
        </w:r>
        <w:r>
          <w:rPr>
            <w:lang w:eastAsia="zh-CN"/>
          </w:rPr>
          <w:fldChar w:fldCharType="end"/>
        </w:r>
      </w:hyperlink>
    </w:p>
    <w:p w14:paraId="6F38988E" w14:textId="77777777" w:rsidR="00000000" w:rsidRDefault="00243083">
      <w:pPr>
        <w:pStyle w:val="TOC1"/>
        <w:rPr>
          <w:szCs w:val="22"/>
          <w:lang w:eastAsia="zh-CN"/>
        </w:rPr>
      </w:pPr>
      <w:hyperlink w:anchor="_Toc337538967" w:history="1">
        <w:r>
          <w:rPr>
            <w:rStyle w:val="Hyperlink"/>
            <w:lang w:eastAsia="zh-CN"/>
          </w:rPr>
          <w:t>5</w:t>
        </w:r>
        <w:r>
          <w:rPr>
            <w:szCs w:val="22"/>
            <w:lang w:eastAsia="zh-CN"/>
          </w:rPr>
          <w:tab/>
        </w:r>
        <w:r>
          <w:rPr>
            <w:rStyle w:val="Hyperlink"/>
            <w:lang w:eastAsia="zh-CN"/>
          </w:rPr>
          <w:t>《季度报告》模板中部分元素</w:t>
        </w:r>
        <w:r>
          <w:rPr>
            <w:rStyle w:val="Hyperlink"/>
            <w:lang w:eastAsia="zh-CN"/>
          </w:rPr>
          <w:t>编号的调整</w:t>
        </w:r>
        <w:r>
          <w:rPr>
            <w:lang w:eastAsia="zh-CN"/>
          </w:rPr>
          <w:tab/>
        </w:r>
        <w:r>
          <w:rPr>
            <w:lang w:eastAsia="zh-CN"/>
          </w:rPr>
          <w:fldChar w:fldCharType="begin"/>
        </w:r>
        <w:r>
          <w:rPr>
            <w:lang w:eastAsia="zh-CN"/>
          </w:rPr>
          <w:instrText xml:space="preserve"> PAGEREF _Toc337538967 \h </w:instrText>
        </w:r>
        <w:r>
          <w:rPr>
            <w:lang w:eastAsia="zh-CN"/>
          </w:rPr>
          <w:fldChar w:fldCharType="separate"/>
        </w:r>
        <w:r>
          <w:rPr>
            <w:lang w:eastAsia="zh-CN"/>
          </w:rPr>
          <w:t>4</w:t>
        </w:r>
        <w:r>
          <w:rPr>
            <w:lang w:eastAsia="zh-CN"/>
          </w:rPr>
          <w:fldChar w:fldCharType="end"/>
        </w:r>
      </w:hyperlink>
    </w:p>
    <w:p w14:paraId="69416629" w14:textId="77777777" w:rsidR="00000000" w:rsidRDefault="00243083">
      <w:pPr>
        <w:pStyle w:val="TOC1"/>
        <w:rPr>
          <w:szCs w:val="22"/>
          <w:lang w:eastAsia="zh-CN"/>
        </w:rPr>
      </w:pPr>
      <w:hyperlink w:anchor="_Toc337538968" w:history="1">
        <w:r>
          <w:rPr>
            <w:rStyle w:val="Hyperlink"/>
            <w:lang w:eastAsia="zh-CN"/>
          </w:rPr>
          <w:t>6</w:t>
        </w:r>
        <w:r>
          <w:rPr>
            <w:szCs w:val="22"/>
            <w:lang w:eastAsia="zh-CN"/>
          </w:rPr>
          <w:tab/>
        </w:r>
        <w:r>
          <w:rPr>
            <w:rStyle w:val="Hyperlink"/>
            <w:lang w:eastAsia="zh-CN"/>
          </w:rPr>
          <w:t>有关货币市场基金</w:t>
        </w:r>
        <w:r>
          <w:rPr>
            <w:rStyle w:val="Hyperlink"/>
            <w:lang w:eastAsia="zh-CN"/>
          </w:rPr>
          <w:t>/</w:t>
        </w:r>
        <w:r>
          <w:rPr>
            <w:rStyle w:val="Hyperlink"/>
            <w:lang w:eastAsia="zh-CN"/>
          </w:rPr>
          <w:t>短期理财债券型基金投资组合报告</w:t>
        </w:r>
        <w:r>
          <w:rPr>
            <w:rStyle w:val="Hyperlink"/>
            <w:lang w:eastAsia="zh-CN"/>
          </w:rPr>
          <w:t>“</w:t>
        </w:r>
        <w:r>
          <w:rPr>
            <w:rStyle w:val="Hyperlink"/>
            <w:lang w:eastAsia="zh-CN"/>
          </w:rPr>
          <w:t>报告期内每个工作日偏离度的绝对值的简单平均值</w:t>
        </w:r>
        <w:r>
          <w:rPr>
            <w:rStyle w:val="Hyperlink"/>
            <w:lang w:eastAsia="zh-CN"/>
          </w:rPr>
          <w:t>”</w:t>
        </w:r>
        <w:r>
          <w:rPr>
            <w:rStyle w:val="Hyperlink"/>
            <w:lang w:eastAsia="zh-CN"/>
          </w:rPr>
          <w:t>的填列</w:t>
        </w:r>
        <w:r>
          <w:rPr>
            <w:lang w:eastAsia="zh-CN"/>
          </w:rPr>
          <w:tab/>
        </w:r>
        <w:r>
          <w:rPr>
            <w:lang w:eastAsia="zh-CN"/>
          </w:rPr>
          <w:fldChar w:fldCharType="begin"/>
        </w:r>
        <w:r>
          <w:rPr>
            <w:lang w:eastAsia="zh-CN"/>
          </w:rPr>
          <w:instrText xml:space="preserve"> PAGEREF _Toc337538968 \h </w:instrText>
        </w:r>
        <w:r>
          <w:rPr>
            <w:lang w:eastAsia="zh-CN"/>
          </w:rPr>
          <w:fldChar w:fldCharType="separate"/>
        </w:r>
        <w:r>
          <w:rPr>
            <w:lang w:eastAsia="zh-CN"/>
          </w:rPr>
          <w:t>6</w:t>
        </w:r>
        <w:r>
          <w:rPr>
            <w:lang w:eastAsia="zh-CN"/>
          </w:rPr>
          <w:fldChar w:fldCharType="end"/>
        </w:r>
      </w:hyperlink>
    </w:p>
    <w:p w14:paraId="0CF9265D" w14:textId="77777777" w:rsidR="00000000" w:rsidRDefault="00243083">
      <w:pPr>
        <w:pStyle w:val="TOC1"/>
        <w:rPr>
          <w:szCs w:val="22"/>
          <w:lang w:eastAsia="zh-CN"/>
        </w:rPr>
      </w:pPr>
      <w:hyperlink w:anchor="_Toc337538969" w:history="1">
        <w:r>
          <w:rPr>
            <w:rStyle w:val="Hyperlink"/>
            <w:lang w:eastAsia="zh-CN"/>
          </w:rPr>
          <w:t>7</w:t>
        </w:r>
        <w:r>
          <w:rPr>
            <w:szCs w:val="22"/>
            <w:lang w:eastAsia="zh-CN"/>
          </w:rPr>
          <w:tab/>
        </w:r>
        <w:r>
          <w:rPr>
            <w:rStyle w:val="Hyperlink"/>
            <w:lang w:eastAsia="zh-CN"/>
          </w:rPr>
          <w:t>关于</w:t>
        </w:r>
        <w:r>
          <w:rPr>
            <w:rStyle w:val="Hyperlink"/>
            <w:lang w:eastAsia="zh-CN"/>
          </w:rPr>
          <w:t>“</w:t>
        </w:r>
        <w:r>
          <w:rPr>
            <w:rStyle w:val="Hyperlink"/>
            <w:lang w:eastAsia="zh-CN"/>
          </w:rPr>
          <w:t>报告期末按债券品种分类的债券投资组合</w:t>
        </w:r>
        <w:r>
          <w:rPr>
            <w:rStyle w:val="Hyperlink"/>
            <w:lang w:eastAsia="zh-CN"/>
          </w:rPr>
          <w:t>”</w:t>
        </w:r>
        <w:r>
          <w:rPr>
            <w:rStyle w:val="Hyperlink"/>
            <w:lang w:eastAsia="zh-CN"/>
          </w:rPr>
          <w:t>的填列</w:t>
        </w:r>
        <w:r>
          <w:rPr>
            <w:lang w:eastAsia="zh-CN"/>
          </w:rPr>
          <w:tab/>
        </w:r>
        <w:r>
          <w:rPr>
            <w:lang w:eastAsia="zh-CN"/>
          </w:rPr>
          <w:fldChar w:fldCharType="begin"/>
        </w:r>
        <w:r>
          <w:rPr>
            <w:lang w:eastAsia="zh-CN"/>
          </w:rPr>
          <w:instrText xml:space="preserve"> PAGEREF _Toc337538969 \h </w:instrText>
        </w:r>
        <w:r>
          <w:rPr>
            <w:lang w:eastAsia="zh-CN"/>
          </w:rPr>
          <w:fldChar w:fldCharType="separate"/>
        </w:r>
        <w:r>
          <w:rPr>
            <w:lang w:eastAsia="zh-CN"/>
          </w:rPr>
          <w:t>6</w:t>
        </w:r>
        <w:r>
          <w:rPr>
            <w:lang w:eastAsia="zh-CN"/>
          </w:rPr>
          <w:fldChar w:fldCharType="end"/>
        </w:r>
      </w:hyperlink>
    </w:p>
    <w:p w14:paraId="4D416DBD" w14:textId="77777777" w:rsidR="00000000" w:rsidRDefault="00243083">
      <w:pPr>
        <w:pStyle w:val="TOC1"/>
        <w:rPr>
          <w:szCs w:val="22"/>
          <w:lang w:eastAsia="zh-CN"/>
        </w:rPr>
      </w:pPr>
      <w:hyperlink w:anchor="_Toc337538970" w:history="1">
        <w:r>
          <w:rPr>
            <w:rStyle w:val="Hyperlink"/>
            <w:lang w:eastAsia="zh-CN"/>
          </w:rPr>
          <w:t>8</w:t>
        </w:r>
        <w:r>
          <w:rPr>
            <w:szCs w:val="22"/>
            <w:lang w:eastAsia="zh-CN"/>
          </w:rPr>
          <w:tab/>
        </w:r>
        <w:r>
          <w:rPr>
            <w:rStyle w:val="Hyperlink"/>
            <w:lang w:eastAsia="zh-CN"/>
          </w:rPr>
          <w:t>关于公平交易部分披露事项的变更</w:t>
        </w:r>
        <w:r>
          <w:rPr>
            <w:lang w:eastAsia="zh-CN"/>
          </w:rPr>
          <w:tab/>
        </w:r>
        <w:r>
          <w:rPr>
            <w:lang w:eastAsia="zh-CN"/>
          </w:rPr>
          <w:fldChar w:fldCharType="begin"/>
        </w:r>
        <w:r>
          <w:rPr>
            <w:lang w:eastAsia="zh-CN"/>
          </w:rPr>
          <w:instrText xml:space="preserve"> PAGEREF _Toc337538970 \h </w:instrText>
        </w:r>
        <w:r>
          <w:rPr>
            <w:lang w:eastAsia="zh-CN"/>
          </w:rPr>
          <w:fldChar w:fldCharType="separate"/>
        </w:r>
        <w:r>
          <w:rPr>
            <w:lang w:eastAsia="zh-CN"/>
          </w:rPr>
          <w:t>7</w:t>
        </w:r>
        <w:r>
          <w:rPr>
            <w:lang w:eastAsia="zh-CN"/>
          </w:rPr>
          <w:fldChar w:fldCharType="end"/>
        </w:r>
      </w:hyperlink>
    </w:p>
    <w:p w14:paraId="621BCF17" w14:textId="77777777" w:rsidR="00000000" w:rsidRDefault="00243083">
      <w:pPr>
        <w:pStyle w:val="TOC1"/>
        <w:rPr>
          <w:szCs w:val="22"/>
          <w:lang w:eastAsia="zh-CN"/>
        </w:rPr>
      </w:pPr>
      <w:hyperlink w:anchor="_Toc337538971" w:history="1">
        <w:r>
          <w:rPr>
            <w:rStyle w:val="Hyperlink"/>
            <w:lang w:eastAsia="zh-CN"/>
          </w:rPr>
          <w:t xml:space="preserve">9  </w:t>
        </w:r>
        <w:r>
          <w:rPr>
            <w:rStyle w:val="Hyperlink"/>
            <w:lang w:eastAsia="zh-CN"/>
          </w:rPr>
          <w:t>关于短期理财债券型基金填报方法的说明</w:t>
        </w:r>
        <w:r>
          <w:rPr>
            <w:lang w:eastAsia="zh-CN"/>
          </w:rPr>
          <w:tab/>
        </w:r>
        <w:r>
          <w:rPr>
            <w:lang w:eastAsia="zh-CN"/>
          </w:rPr>
          <w:fldChar w:fldCharType="begin"/>
        </w:r>
        <w:r>
          <w:rPr>
            <w:lang w:eastAsia="zh-CN"/>
          </w:rPr>
          <w:instrText xml:space="preserve"> PAGEREF _Toc337538971 \h </w:instrText>
        </w:r>
        <w:r>
          <w:rPr>
            <w:lang w:eastAsia="zh-CN"/>
          </w:rPr>
          <w:fldChar w:fldCharType="separate"/>
        </w:r>
        <w:r>
          <w:rPr>
            <w:lang w:eastAsia="zh-CN"/>
          </w:rPr>
          <w:t>8</w:t>
        </w:r>
        <w:r>
          <w:rPr>
            <w:lang w:eastAsia="zh-CN"/>
          </w:rPr>
          <w:fldChar w:fldCharType="end"/>
        </w:r>
      </w:hyperlink>
    </w:p>
    <w:p w14:paraId="5FE4809E" w14:textId="77777777" w:rsidR="00000000" w:rsidRDefault="00243083">
      <w:r>
        <w:fldChar w:fldCharType="end"/>
      </w:r>
      <w:r>
        <w:br w:type="page"/>
      </w:r>
    </w:p>
    <w:p w14:paraId="5C271061" w14:textId="77777777" w:rsidR="00000000" w:rsidRDefault="00243083">
      <w:pPr>
        <w:pStyle w:val="Heading1"/>
        <w:keepLines w:val="0"/>
        <w:numPr>
          <w:ilvl w:val="0"/>
          <w:numId w:val="2"/>
        </w:numPr>
        <w:spacing w:beforeLines="50" w:before="156" w:afterLines="50" w:after="156" w:line="240" w:lineRule="auto"/>
        <w:jc w:val="left"/>
        <w:rPr>
          <w:bCs w:val="0"/>
          <w:kern w:val="2"/>
          <w:sz w:val="32"/>
          <w:szCs w:val="24"/>
        </w:rPr>
      </w:pPr>
      <w:bookmarkStart w:id="1" w:name="_Toc228353312"/>
      <w:bookmarkStart w:id="2" w:name="_Toc337538963"/>
      <w:bookmarkStart w:id="3" w:name="_Toc196100192"/>
      <w:r>
        <w:rPr>
          <w:bCs w:val="0"/>
          <w:kern w:val="2"/>
          <w:sz w:val="32"/>
          <w:szCs w:val="24"/>
        </w:rPr>
        <w:t>参考的技术文档</w:t>
      </w:r>
      <w:bookmarkEnd w:id="1"/>
      <w:bookmarkEnd w:id="2"/>
    </w:p>
    <w:p w14:paraId="61AC310D" w14:textId="77777777" w:rsidR="00000000" w:rsidRDefault="00243083">
      <w:pPr>
        <w:widowControl/>
        <w:snapToGrid w:val="0"/>
        <w:spacing w:line="360" w:lineRule="auto"/>
        <w:ind w:firstLine="420"/>
        <w:rPr>
          <w:sz w:val="24"/>
        </w:rPr>
      </w:pPr>
      <w:r>
        <w:rPr>
          <w:sz w:val="24"/>
        </w:rPr>
        <w:t>1</w:t>
      </w:r>
      <w:r>
        <w:rPr>
          <w:sz w:val="24"/>
        </w:rPr>
        <w:t>）《证券投资基金信息披露电子化规范》（送审稿）</w:t>
      </w:r>
    </w:p>
    <w:p w14:paraId="25E2BB6E" w14:textId="77777777" w:rsidR="00000000" w:rsidRDefault="00243083">
      <w:pPr>
        <w:widowControl/>
        <w:snapToGrid w:val="0"/>
        <w:spacing w:line="360" w:lineRule="auto"/>
        <w:ind w:firstLine="420"/>
        <w:rPr>
          <w:sz w:val="24"/>
        </w:rPr>
      </w:pPr>
      <w:r>
        <w:rPr>
          <w:sz w:val="24"/>
        </w:rPr>
        <w:t>2</w:t>
      </w:r>
      <w:r>
        <w:rPr>
          <w:sz w:val="24"/>
        </w:rPr>
        <w:t>）《证券投资基金信息披露</w:t>
      </w:r>
      <w:r>
        <w:rPr>
          <w:sz w:val="24"/>
        </w:rPr>
        <w:t>XBRL</w:t>
      </w:r>
      <w:r>
        <w:rPr>
          <w:sz w:val="24"/>
        </w:rPr>
        <w:t>标引规范（</w:t>
      </w:r>
      <w:r>
        <w:rPr>
          <w:sz w:val="24"/>
        </w:rPr>
        <w:t>Taxonomy</w:t>
      </w:r>
      <w:r>
        <w:rPr>
          <w:sz w:val="24"/>
        </w:rPr>
        <w:t>）》，中国证监会，</w:t>
      </w:r>
      <w:r>
        <w:rPr>
          <w:sz w:val="24"/>
        </w:rPr>
        <w:t>2008.8.26</w:t>
      </w:r>
    </w:p>
    <w:p w14:paraId="063D4088" w14:textId="77777777" w:rsidR="00000000" w:rsidRDefault="00243083">
      <w:pPr>
        <w:widowControl/>
        <w:snapToGrid w:val="0"/>
        <w:spacing w:line="360" w:lineRule="auto"/>
        <w:ind w:firstLine="420"/>
        <w:rPr>
          <w:sz w:val="24"/>
        </w:rPr>
      </w:pPr>
      <w:r>
        <w:rPr>
          <w:sz w:val="24"/>
        </w:rPr>
        <w:t>3</w:t>
      </w:r>
      <w:r>
        <w:rPr>
          <w:sz w:val="24"/>
        </w:rPr>
        <w:t>）</w:t>
      </w:r>
      <w:r>
        <w:rPr>
          <w:sz w:val="24"/>
        </w:rPr>
        <w:t>CSRC</w:t>
      </w:r>
      <w:r>
        <w:rPr>
          <w:sz w:val="24"/>
        </w:rPr>
        <w:t>基金</w:t>
      </w:r>
      <w:r>
        <w:rPr>
          <w:sz w:val="24"/>
        </w:rPr>
        <w:t>XBR</w:t>
      </w:r>
      <w:r>
        <w:rPr>
          <w:sz w:val="24"/>
        </w:rPr>
        <w:t>L</w:t>
      </w:r>
      <w:r>
        <w:rPr>
          <w:sz w:val="24"/>
        </w:rPr>
        <w:t>实例文档编制技术指引</w:t>
      </w:r>
      <w:r>
        <w:rPr>
          <w:sz w:val="24"/>
        </w:rPr>
        <w:t xml:space="preserve"> – 1</w:t>
      </w:r>
      <w:r>
        <w:rPr>
          <w:sz w:val="24"/>
        </w:rPr>
        <w:t>号</w:t>
      </w:r>
      <w:r>
        <w:rPr>
          <w:sz w:val="24"/>
        </w:rPr>
        <w:t xml:space="preserve"> – </w:t>
      </w:r>
      <w:r>
        <w:rPr>
          <w:sz w:val="24"/>
        </w:rPr>
        <w:t>一般性规定</w:t>
      </w:r>
    </w:p>
    <w:p w14:paraId="76E16583" w14:textId="77777777" w:rsidR="00000000" w:rsidRDefault="00243083">
      <w:pPr>
        <w:widowControl/>
        <w:snapToGrid w:val="0"/>
        <w:spacing w:line="360" w:lineRule="auto"/>
        <w:ind w:firstLine="420"/>
        <w:rPr>
          <w:sz w:val="24"/>
        </w:rPr>
      </w:pPr>
      <w:r>
        <w:rPr>
          <w:sz w:val="24"/>
        </w:rPr>
        <w:t>4</w:t>
      </w:r>
      <w:r>
        <w:rPr>
          <w:sz w:val="24"/>
        </w:rPr>
        <w:t>）</w:t>
      </w:r>
      <w:r>
        <w:rPr>
          <w:sz w:val="24"/>
        </w:rPr>
        <w:t>CSRC</w:t>
      </w:r>
      <w:r>
        <w:rPr>
          <w:sz w:val="24"/>
        </w:rPr>
        <w:t>基金</w:t>
      </w:r>
      <w:r>
        <w:rPr>
          <w:sz w:val="24"/>
        </w:rPr>
        <w:t>XBRL</w:t>
      </w:r>
      <w:r>
        <w:rPr>
          <w:sz w:val="24"/>
        </w:rPr>
        <w:t>实例文档编制技术指引</w:t>
      </w:r>
      <w:r>
        <w:rPr>
          <w:sz w:val="24"/>
        </w:rPr>
        <w:t xml:space="preserve"> – 4</w:t>
      </w:r>
      <w:r>
        <w:rPr>
          <w:sz w:val="24"/>
        </w:rPr>
        <w:t>号</w:t>
      </w:r>
      <w:r>
        <w:rPr>
          <w:sz w:val="24"/>
        </w:rPr>
        <w:t xml:space="preserve"> – </w:t>
      </w:r>
      <w:r>
        <w:rPr>
          <w:sz w:val="24"/>
        </w:rPr>
        <w:t>年度（半年度）报告</w:t>
      </w:r>
    </w:p>
    <w:p w14:paraId="40005710" w14:textId="77777777" w:rsidR="00000000" w:rsidRDefault="00243083">
      <w:pPr>
        <w:pStyle w:val="Heading1"/>
        <w:keepLines w:val="0"/>
        <w:numPr>
          <w:ilvl w:val="0"/>
          <w:numId w:val="2"/>
        </w:numPr>
        <w:spacing w:beforeLines="50" w:before="156" w:afterLines="50" w:after="156" w:line="240" w:lineRule="auto"/>
        <w:jc w:val="left"/>
        <w:rPr>
          <w:bCs w:val="0"/>
          <w:kern w:val="2"/>
          <w:sz w:val="32"/>
          <w:szCs w:val="24"/>
        </w:rPr>
      </w:pPr>
      <w:bookmarkStart w:id="4" w:name="_Toc337538964"/>
      <w:r>
        <w:rPr>
          <w:bCs w:val="0"/>
          <w:kern w:val="2"/>
          <w:sz w:val="32"/>
          <w:szCs w:val="24"/>
        </w:rPr>
        <w:t>说明</w:t>
      </w:r>
      <w:bookmarkEnd w:id="4"/>
    </w:p>
    <w:p w14:paraId="6818E00B" w14:textId="77777777" w:rsidR="00000000" w:rsidRDefault="00243083">
      <w:pPr>
        <w:widowControl/>
        <w:snapToGrid w:val="0"/>
        <w:spacing w:line="360" w:lineRule="auto"/>
        <w:ind w:firstLine="420"/>
        <w:rPr>
          <w:sz w:val="24"/>
        </w:rPr>
      </w:pPr>
      <w:r>
        <w:rPr>
          <w:sz w:val="24"/>
        </w:rPr>
        <w:t>本文仅对季报的特殊要求进行说明，未说明部分请参照技术指引</w:t>
      </w:r>
      <w:r>
        <w:rPr>
          <w:sz w:val="24"/>
        </w:rPr>
        <w:t>1</w:t>
      </w:r>
      <w:r>
        <w:rPr>
          <w:sz w:val="24"/>
        </w:rPr>
        <w:t>号《一般性规定》、</w:t>
      </w:r>
      <w:r>
        <w:rPr>
          <w:sz w:val="24"/>
        </w:rPr>
        <w:t>4</w:t>
      </w:r>
      <w:r>
        <w:rPr>
          <w:sz w:val="24"/>
        </w:rPr>
        <w:t>号《年度（半年度）报告》。</w:t>
      </w:r>
    </w:p>
    <w:p w14:paraId="1D580108" w14:textId="77777777" w:rsidR="00000000" w:rsidRDefault="00243083">
      <w:pPr>
        <w:widowControl/>
        <w:snapToGrid w:val="0"/>
        <w:spacing w:line="360" w:lineRule="auto"/>
        <w:ind w:firstLine="420"/>
        <w:rPr>
          <w:sz w:val="24"/>
        </w:rPr>
      </w:pPr>
    </w:p>
    <w:p w14:paraId="542C4D1F" w14:textId="77777777" w:rsidR="00000000" w:rsidRDefault="00243083">
      <w:pPr>
        <w:pStyle w:val="Heading1"/>
        <w:keepLines w:val="0"/>
        <w:numPr>
          <w:ilvl w:val="0"/>
          <w:numId w:val="2"/>
        </w:numPr>
        <w:spacing w:beforeLines="50" w:before="156" w:afterLines="50" w:after="156" w:line="240" w:lineRule="auto"/>
        <w:jc w:val="left"/>
        <w:rPr>
          <w:bCs w:val="0"/>
          <w:kern w:val="2"/>
          <w:sz w:val="32"/>
          <w:szCs w:val="24"/>
        </w:rPr>
      </w:pPr>
      <w:bookmarkStart w:id="5" w:name="_Toc337538965"/>
      <w:r>
        <w:rPr>
          <w:bCs w:val="0"/>
          <w:kern w:val="2"/>
          <w:sz w:val="32"/>
          <w:szCs w:val="24"/>
        </w:rPr>
        <w:t>图的处理</w:t>
      </w:r>
      <w:bookmarkEnd w:id="5"/>
    </w:p>
    <w:p w14:paraId="42978776" w14:textId="77777777" w:rsidR="00000000" w:rsidRDefault="00243083">
      <w:pPr>
        <w:widowControl/>
        <w:snapToGrid w:val="0"/>
        <w:spacing w:line="360" w:lineRule="auto"/>
        <w:ind w:firstLine="420"/>
        <w:rPr>
          <w:sz w:val="24"/>
        </w:rPr>
      </w:pPr>
      <w:r>
        <w:rPr>
          <w:sz w:val="24"/>
        </w:rPr>
        <w:t>自基金合同生效以来基金累计份额净值增长率变动及其与同期业绩比较基准收益率变动的比较的数据需随季报上报，具体要求如下：</w:t>
      </w:r>
    </w:p>
    <w:p w14:paraId="4A34949B" w14:textId="77777777" w:rsidR="00000000" w:rsidRDefault="00243083">
      <w:pPr>
        <w:pStyle w:val="BodyText"/>
        <w:numPr>
          <w:ilvl w:val="0"/>
          <w:numId w:val="3"/>
        </w:numPr>
        <w:spacing w:before="0" w:after="0"/>
        <w:rPr>
          <w:rStyle w:val="CODE"/>
          <w:rFonts w:ascii="Times New Roman" w:eastAsia="楷体_GB2312" w:hAnsi="Times New Roman"/>
          <w:spacing w:val="0"/>
          <w:sz w:val="21"/>
          <w:lang w:eastAsia="zh-CN"/>
        </w:rPr>
      </w:pPr>
      <w:r>
        <w:rPr>
          <w:rStyle w:val="CODE"/>
          <w:rFonts w:ascii="Times New Roman" w:eastAsia="楷体_GB2312" w:hAnsi="Times New Roman"/>
          <w:spacing w:val="0"/>
          <w:sz w:val="21"/>
          <w:lang w:eastAsia="zh-CN"/>
        </w:rPr>
        <w:t>只在季报中上报本期的绘图数据，半年报和年报中不报送绘图数据。</w:t>
      </w:r>
    </w:p>
    <w:p w14:paraId="5E35D6DF" w14:textId="77777777" w:rsidR="00000000" w:rsidRDefault="00243083">
      <w:pPr>
        <w:pStyle w:val="BodyText"/>
        <w:numPr>
          <w:ilvl w:val="0"/>
          <w:numId w:val="3"/>
        </w:numPr>
        <w:tabs>
          <w:tab w:val="left" w:pos="1215"/>
          <w:tab w:val="left" w:pos="1260"/>
        </w:tabs>
        <w:spacing w:before="0" w:after="0"/>
        <w:rPr>
          <w:rStyle w:val="CODE"/>
          <w:rFonts w:ascii="Times New Roman" w:eastAsia="楷体_GB2312" w:hAnsi="Times New Roman"/>
          <w:spacing w:val="0"/>
          <w:sz w:val="21"/>
          <w:lang w:eastAsia="zh-CN"/>
        </w:rPr>
      </w:pPr>
      <w:r>
        <w:rPr>
          <w:rStyle w:val="CODE"/>
          <w:rFonts w:ascii="Times New Roman" w:eastAsia="楷体_GB2312" w:hAnsi="Times New Roman"/>
          <w:spacing w:val="0"/>
          <w:sz w:val="21"/>
          <w:lang w:eastAsia="zh-CN"/>
        </w:rPr>
        <w:t>使用元素以及上下文定义：</w:t>
      </w:r>
    </w:p>
    <w:p w14:paraId="52811DAD" w14:textId="77777777" w:rsidR="00000000" w:rsidRDefault="00243083">
      <w:pPr>
        <w:pStyle w:val="BodyText"/>
        <w:spacing w:before="0" w:after="0"/>
        <w:ind w:left="1215" w:firstLine="420"/>
        <w:rPr>
          <w:rStyle w:val="CODE"/>
          <w:rFonts w:ascii="Times New Roman" w:eastAsia="楷体_GB2312" w:hAnsi="Times New Roman"/>
          <w:spacing w:val="0"/>
          <w:sz w:val="21"/>
          <w:lang w:eastAsia="zh-CN"/>
        </w:rPr>
      </w:pPr>
      <w:r>
        <w:rPr>
          <w:rStyle w:val="CODE"/>
          <w:rFonts w:ascii="Times New Roman" w:eastAsia="楷体_GB2312" w:hAnsi="Times New Roman"/>
          <w:spacing w:val="0"/>
          <w:sz w:val="21"/>
          <w:lang w:eastAsia="zh-CN"/>
        </w:rPr>
        <w:t>实例文档中的绘图数据用元素</w:t>
      </w:r>
      <w:r>
        <w:rPr>
          <w:rStyle w:val="CODE"/>
          <w:rFonts w:ascii="Times New Roman" w:eastAsia="楷体_GB2312" w:hAnsi="Times New Roman"/>
          <w:spacing w:val="0"/>
          <w:sz w:val="21"/>
          <w:lang w:eastAsia="zh-CN"/>
        </w:rPr>
        <w:t>HeTongShengXi</w:t>
      </w:r>
      <w:r>
        <w:rPr>
          <w:rStyle w:val="CODE"/>
          <w:rFonts w:ascii="Times New Roman" w:eastAsia="楷体_GB2312" w:hAnsi="Times New Roman"/>
          <w:spacing w:val="0"/>
          <w:sz w:val="21"/>
          <w:lang w:eastAsia="zh-CN"/>
        </w:rPr>
        <w:t>aoYiLaiFenEJingZhiBianDongJiYuTongQiYeJiBiJiaoJiZhunDeBianDongBiJiao</w:t>
      </w:r>
      <w:r>
        <w:rPr>
          <w:rStyle w:val="CODE"/>
          <w:rFonts w:ascii="Times New Roman" w:eastAsia="楷体_GB2312" w:hAnsi="Times New Roman"/>
          <w:spacing w:val="0"/>
          <w:sz w:val="21"/>
          <w:lang w:eastAsia="zh-CN"/>
        </w:rPr>
        <w:t>及其子元素来报送。</w:t>
      </w:r>
    </w:p>
    <w:p w14:paraId="3E5C4892" w14:textId="77777777" w:rsidR="00000000" w:rsidRDefault="00243083">
      <w:pPr>
        <w:pStyle w:val="BodyText"/>
        <w:spacing w:before="0" w:after="0"/>
        <w:ind w:left="1215" w:firstLine="420"/>
        <w:rPr>
          <w:rStyle w:val="CODE"/>
          <w:rFonts w:ascii="Times New Roman" w:eastAsia="楷体_GB2312" w:hAnsi="Times New Roman"/>
          <w:spacing w:val="0"/>
          <w:sz w:val="21"/>
          <w:lang w:eastAsia="zh-CN"/>
        </w:rPr>
      </w:pPr>
      <w:r>
        <w:rPr>
          <w:rStyle w:val="CODE"/>
          <w:rFonts w:ascii="Times New Roman" w:eastAsia="楷体_GB2312" w:hAnsi="Times New Roman"/>
          <w:spacing w:val="0"/>
          <w:sz w:val="21"/>
          <w:lang w:eastAsia="zh-CN"/>
        </w:rPr>
        <w:t>上下文定义只要符合</w:t>
      </w:r>
      <w:r>
        <w:rPr>
          <w:rStyle w:val="CODE"/>
          <w:rFonts w:ascii="Times New Roman" w:eastAsia="楷体_GB2312" w:hAnsi="Times New Roman"/>
          <w:spacing w:val="0"/>
          <w:sz w:val="21"/>
          <w:lang w:eastAsia="zh-CN"/>
        </w:rPr>
        <w:t>XBRL</w:t>
      </w:r>
      <w:r>
        <w:rPr>
          <w:rStyle w:val="CODE"/>
          <w:rFonts w:ascii="Times New Roman" w:eastAsia="楷体_GB2312" w:hAnsi="Times New Roman"/>
          <w:spacing w:val="0"/>
          <w:sz w:val="21"/>
          <w:lang w:eastAsia="zh-CN"/>
        </w:rPr>
        <w:t>规范即可，建议使用本次报送的结束日期作为上下文定义的日期。</w:t>
      </w:r>
    </w:p>
    <w:p w14:paraId="7558D0E4" w14:textId="77777777" w:rsidR="00000000" w:rsidRDefault="00243083">
      <w:pPr>
        <w:pStyle w:val="BodyText"/>
        <w:numPr>
          <w:ilvl w:val="0"/>
          <w:numId w:val="3"/>
        </w:numPr>
        <w:tabs>
          <w:tab w:val="left" w:pos="1215"/>
          <w:tab w:val="left" w:pos="1260"/>
        </w:tabs>
        <w:spacing w:before="0" w:after="0"/>
        <w:rPr>
          <w:rStyle w:val="CODE"/>
          <w:rFonts w:ascii="Times New Roman" w:eastAsia="楷体_GB2312" w:hAnsi="Times New Roman"/>
          <w:spacing w:val="0"/>
          <w:sz w:val="21"/>
          <w:lang w:eastAsia="zh-CN"/>
        </w:rPr>
      </w:pPr>
      <w:r>
        <w:rPr>
          <w:rStyle w:val="CODE"/>
          <w:rFonts w:ascii="Times New Roman" w:eastAsia="楷体_GB2312" w:hAnsi="Times New Roman"/>
          <w:spacing w:val="0"/>
          <w:sz w:val="21"/>
          <w:lang w:eastAsia="zh-CN"/>
        </w:rPr>
        <w:t>基金公司根据合同生效日以来的所有绘图数据绘制图形，并与实例文档一同上报。</w:t>
      </w:r>
    </w:p>
    <w:p w14:paraId="6B52C272" w14:textId="77777777" w:rsidR="00000000" w:rsidRDefault="00243083">
      <w:pPr>
        <w:pStyle w:val="BodyText"/>
        <w:numPr>
          <w:ilvl w:val="0"/>
          <w:numId w:val="3"/>
        </w:numPr>
        <w:tabs>
          <w:tab w:val="left" w:pos="1215"/>
          <w:tab w:val="left" w:pos="1260"/>
        </w:tabs>
        <w:spacing w:before="0" w:after="0"/>
        <w:rPr>
          <w:rStyle w:val="CODE"/>
          <w:rFonts w:ascii="Times New Roman" w:eastAsia="楷体_GB2312" w:hAnsi="Times New Roman"/>
          <w:spacing w:val="0"/>
          <w:sz w:val="21"/>
          <w:lang w:eastAsia="zh-CN"/>
        </w:rPr>
      </w:pPr>
      <w:r>
        <w:rPr>
          <w:rStyle w:val="CODE"/>
          <w:rFonts w:ascii="Times New Roman" w:eastAsia="楷体_GB2312" w:hAnsi="Times New Roman"/>
          <w:spacing w:val="0"/>
          <w:sz w:val="21"/>
          <w:lang w:eastAsia="zh-CN"/>
        </w:rPr>
        <w:t>图形的文件名称及要求参照《一般性规定》中的规定。</w:t>
      </w:r>
    </w:p>
    <w:p w14:paraId="60FA86EC" w14:textId="77777777" w:rsidR="00000000" w:rsidRDefault="00243083">
      <w:pPr>
        <w:pStyle w:val="BodyText"/>
        <w:numPr>
          <w:ilvl w:val="0"/>
          <w:numId w:val="3"/>
        </w:numPr>
        <w:tabs>
          <w:tab w:val="left" w:pos="1215"/>
          <w:tab w:val="left" w:pos="1260"/>
        </w:tabs>
        <w:spacing w:before="0" w:after="0"/>
        <w:rPr>
          <w:rFonts w:ascii="Times New Roman" w:hAnsi="Times New Roman"/>
          <w:sz w:val="20"/>
          <w:lang w:eastAsia="zh-CN"/>
        </w:rPr>
      </w:pPr>
      <w:r>
        <w:rPr>
          <w:rStyle w:val="CODE"/>
          <w:rFonts w:ascii="Times New Roman" w:eastAsia="楷体_GB2312" w:hAnsi="Times New Roman"/>
          <w:spacing w:val="0"/>
          <w:sz w:val="21"/>
          <w:lang w:eastAsia="zh-CN"/>
        </w:rPr>
        <w:t>需图片名称（含扩展名）填入实例文档内指定元素中，季报中图片所对应的元素为：</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054"/>
        <w:gridCol w:w="4125"/>
      </w:tblGrid>
      <w:tr w:rsidR="00000000" w14:paraId="32318C0F" w14:textId="77777777">
        <w:trPr>
          <w:trHeight w:val="285"/>
          <w:jc w:val="center"/>
        </w:trPr>
        <w:tc>
          <w:tcPr>
            <w:tcW w:w="5054" w:type="dxa"/>
            <w:vAlign w:val="center"/>
          </w:tcPr>
          <w:p w14:paraId="06170127" w14:textId="77777777" w:rsidR="00000000" w:rsidRDefault="00243083">
            <w:pPr>
              <w:jc w:val="center"/>
              <w:rPr>
                <w:rFonts w:eastAsia="楷体_GB2312"/>
                <w:b/>
                <w:szCs w:val="21"/>
              </w:rPr>
            </w:pPr>
            <w:r>
              <w:rPr>
                <w:rFonts w:eastAsia="楷体_GB2312"/>
                <w:b/>
                <w:szCs w:val="21"/>
              </w:rPr>
              <w:t>元素名称</w:t>
            </w:r>
          </w:p>
        </w:tc>
        <w:tc>
          <w:tcPr>
            <w:tcW w:w="4125" w:type="dxa"/>
            <w:vAlign w:val="center"/>
          </w:tcPr>
          <w:p w14:paraId="3B93DA7C" w14:textId="77777777" w:rsidR="00000000" w:rsidRDefault="00243083">
            <w:pPr>
              <w:jc w:val="center"/>
              <w:rPr>
                <w:rFonts w:eastAsia="楷体_GB2312"/>
                <w:b/>
                <w:szCs w:val="21"/>
              </w:rPr>
            </w:pPr>
            <w:r>
              <w:rPr>
                <w:rFonts w:eastAsia="楷体_GB2312"/>
                <w:b/>
                <w:szCs w:val="21"/>
              </w:rPr>
              <w:t>元素中文标签</w:t>
            </w:r>
          </w:p>
        </w:tc>
      </w:tr>
      <w:tr w:rsidR="00000000" w14:paraId="41109FAA" w14:textId="77777777">
        <w:trPr>
          <w:trHeight w:val="285"/>
          <w:jc w:val="center"/>
        </w:trPr>
        <w:tc>
          <w:tcPr>
            <w:tcW w:w="5054" w:type="dxa"/>
            <w:vAlign w:val="center"/>
          </w:tcPr>
          <w:p w14:paraId="31D6DA17" w14:textId="77777777" w:rsidR="00000000" w:rsidRDefault="00243083">
            <w:pPr>
              <w:rPr>
                <w:rFonts w:eastAsia="楷体_GB2312"/>
                <w:szCs w:val="21"/>
              </w:rPr>
            </w:pPr>
            <w:r>
              <w:rPr>
                <w:rFonts w:eastAsia="楷体_GB2312"/>
                <w:szCs w:val="21"/>
              </w:rPr>
              <w:t>HTSXYLJJFEJZBDJYTQYJBJ</w:t>
            </w:r>
            <w:r>
              <w:rPr>
                <w:rFonts w:eastAsia="楷体_GB2312"/>
                <w:szCs w:val="21"/>
              </w:rPr>
              <w:t>JZDBDBJTuMingCheng</w:t>
            </w:r>
          </w:p>
        </w:tc>
        <w:tc>
          <w:tcPr>
            <w:tcW w:w="4125" w:type="dxa"/>
            <w:vAlign w:val="center"/>
          </w:tcPr>
          <w:p w14:paraId="1A797881" w14:textId="77777777" w:rsidR="00000000" w:rsidRDefault="00243083">
            <w:pPr>
              <w:rPr>
                <w:rFonts w:eastAsia="楷体_GB2312"/>
                <w:szCs w:val="21"/>
              </w:rPr>
            </w:pPr>
            <w:r>
              <w:rPr>
                <w:rFonts w:eastAsia="楷体_GB2312"/>
                <w:szCs w:val="21"/>
              </w:rPr>
              <w:t>本基金合同生效以来基金份额净值变动情况及与同期业绩比较基准的变动比较图名称</w:t>
            </w:r>
          </w:p>
        </w:tc>
      </w:tr>
      <w:tr w:rsidR="00000000" w14:paraId="36CA837A" w14:textId="77777777">
        <w:trPr>
          <w:trHeight w:val="285"/>
          <w:jc w:val="center"/>
        </w:trPr>
        <w:tc>
          <w:tcPr>
            <w:tcW w:w="5054" w:type="dxa"/>
            <w:vAlign w:val="center"/>
          </w:tcPr>
          <w:p w14:paraId="35CA1C71" w14:textId="77777777" w:rsidR="00000000" w:rsidRDefault="00243083">
            <w:pPr>
              <w:rPr>
                <w:rFonts w:eastAsia="楷体_GB2312"/>
                <w:szCs w:val="21"/>
              </w:rPr>
            </w:pPr>
            <w:r>
              <w:rPr>
                <w:rFonts w:eastAsia="楷体_GB2312"/>
                <w:szCs w:val="21"/>
              </w:rPr>
              <w:t>BTZZHYGPZBDBJTuMingCheng</w:t>
            </w:r>
          </w:p>
        </w:tc>
        <w:tc>
          <w:tcPr>
            <w:tcW w:w="4125" w:type="dxa"/>
            <w:vAlign w:val="center"/>
          </w:tcPr>
          <w:p w14:paraId="25B1F32B" w14:textId="77777777" w:rsidR="00000000" w:rsidRDefault="00243083">
            <w:pPr>
              <w:rPr>
                <w:rFonts w:eastAsia="楷体_GB2312"/>
                <w:szCs w:val="21"/>
              </w:rPr>
            </w:pPr>
            <w:r>
              <w:rPr>
                <w:rFonts w:eastAsia="楷体_GB2312"/>
                <w:szCs w:val="21"/>
              </w:rPr>
              <w:t>本投资组合与其他风格相似的组合之间的业绩比较图名称</w:t>
            </w:r>
          </w:p>
        </w:tc>
      </w:tr>
    </w:tbl>
    <w:p w14:paraId="1222A468" w14:textId="77777777" w:rsidR="00000000" w:rsidRDefault="00243083">
      <w:pPr>
        <w:pStyle w:val="BodyText"/>
        <w:numPr>
          <w:ilvl w:val="0"/>
          <w:numId w:val="3"/>
        </w:numPr>
        <w:tabs>
          <w:tab w:val="left" w:pos="1215"/>
          <w:tab w:val="left" w:pos="1260"/>
        </w:tabs>
        <w:spacing w:before="0" w:after="0"/>
        <w:rPr>
          <w:rStyle w:val="CODE"/>
          <w:rFonts w:ascii="Times New Roman" w:eastAsia="楷体_GB2312" w:hAnsi="Times New Roman"/>
          <w:spacing w:val="0"/>
          <w:sz w:val="21"/>
          <w:lang w:eastAsia="zh-CN"/>
        </w:rPr>
      </w:pPr>
      <w:r>
        <w:rPr>
          <w:rStyle w:val="CODE"/>
          <w:rFonts w:ascii="Times New Roman" w:eastAsia="楷体_GB2312" w:hAnsi="Times New Roman"/>
          <w:spacing w:val="0"/>
          <w:sz w:val="21"/>
          <w:lang w:eastAsia="zh-CN"/>
        </w:rPr>
        <w:t>对于分级</w:t>
      </w:r>
      <w:r>
        <w:rPr>
          <w:rStyle w:val="CODE"/>
          <w:rFonts w:ascii="Times New Roman" w:eastAsia="楷体_GB2312" w:hAnsi="Times New Roman"/>
          <w:spacing w:val="0"/>
          <w:sz w:val="21"/>
          <w:lang w:eastAsia="zh-CN"/>
        </w:rPr>
        <w:t>/</w:t>
      </w:r>
      <w:r>
        <w:rPr>
          <w:rStyle w:val="CODE"/>
          <w:rFonts w:ascii="Times New Roman" w:eastAsia="楷体_GB2312" w:hAnsi="Times New Roman"/>
          <w:spacing w:val="0"/>
          <w:sz w:val="21"/>
          <w:lang w:eastAsia="zh-CN"/>
        </w:rPr>
        <w:t>分类基金的图形数据和文件名称，通过上下文进行区分。</w:t>
      </w:r>
    </w:p>
    <w:p w14:paraId="5609EF63" w14:textId="77777777" w:rsidR="00000000" w:rsidRDefault="00243083">
      <w:pPr>
        <w:pStyle w:val="Heading1"/>
        <w:keepLines w:val="0"/>
        <w:numPr>
          <w:ilvl w:val="0"/>
          <w:numId w:val="2"/>
        </w:numPr>
        <w:spacing w:beforeLines="50" w:before="156" w:afterLines="50" w:after="156" w:line="240" w:lineRule="auto"/>
        <w:jc w:val="left"/>
        <w:rPr>
          <w:bCs w:val="0"/>
          <w:kern w:val="2"/>
          <w:sz w:val="32"/>
          <w:szCs w:val="24"/>
        </w:rPr>
      </w:pPr>
      <w:bookmarkStart w:id="6" w:name="_Toc228353332"/>
      <w:bookmarkStart w:id="7" w:name="_Toc337538966"/>
      <w:r>
        <w:rPr>
          <w:bCs w:val="0"/>
          <w:kern w:val="2"/>
          <w:sz w:val="32"/>
          <w:szCs w:val="24"/>
        </w:rPr>
        <w:lastRenderedPageBreak/>
        <w:t>股票投资明细的元素定义提示</w:t>
      </w:r>
      <w:bookmarkEnd w:id="6"/>
      <w:bookmarkEnd w:id="7"/>
    </w:p>
    <w:p w14:paraId="56319F5A" w14:textId="77777777" w:rsidR="00000000" w:rsidRDefault="00243083">
      <w:pPr>
        <w:widowControl/>
        <w:snapToGrid w:val="0"/>
        <w:spacing w:line="360" w:lineRule="auto"/>
        <w:ind w:firstLine="420"/>
        <w:rPr>
          <w:sz w:val="24"/>
        </w:rPr>
      </w:pPr>
      <w:r>
        <w:rPr>
          <w:sz w:val="24"/>
        </w:rPr>
        <w:t>季报要求披露前</w:t>
      </w:r>
      <w:r>
        <w:rPr>
          <w:sz w:val="24"/>
        </w:rPr>
        <w:t>10</w:t>
      </w:r>
      <w:r>
        <w:rPr>
          <w:sz w:val="24"/>
        </w:rPr>
        <w:t>名（其中：增强指数基金披露积极投资前</w:t>
      </w:r>
      <w:r>
        <w:rPr>
          <w:sz w:val="24"/>
        </w:rPr>
        <w:t>5</w:t>
      </w:r>
      <w:r>
        <w:rPr>
          <w:sz w:val="24"/>
        </w:rPr>
        <w:t>名和指数投资前</w:t>
      </w:r>
      <w:r>
        <w:rPr>
          <w:sz w:val="24"/>
        </w:rPr>
        <w:t>5</w:t>
      </w:r>
      <w:r>
        <w:rPr>
          <w:sz w:val="24"/>
        </w:rPr>
        <w:t>名）的填列方式：</w:t>
      </w:r>
    </w:p>
    <w:p w14:paraId="48BB193C" w14:textId="77777777" w:rsidR="00000000" w:rsidRDefault="00243083">
      <w:pPr>
        <w:widowControl/>
        <w:snapToGrid w:val="0"/>
        <w:spacing w:line="360" w:lineRule="auto"/>
        <w:ind w:firstLine="420"/>
        <w:rPr>
          <w:sz w:val="24"/>
        </w:rPr>
      </w:pPr>
      <w:r>
        <w:rPr>
          <w:sz w:val="24"/>
        </w:rPr>
        <w:t>季报模版如下：</w:t>
      </w:r>
    </w:p>
    <w:p w14:paraId="4CC3EEF5" w14:textId="77777777" w:rsidR="00000000" w:rsidRDefault="00243083">
      <w:pPr>
        <w:jc w:val="center"/>
        <w:rPr>
          <w:rFonts w:eastAsia="楷体_GB2312"/>
          <w:b/>
          <w:szCs w:val="21"/>
        </w:rPr>
      </w:pPr>
      <w:r>
        <w:rPr>
          <w:rFonts w:eastAsia="楷体_GB2312"/>
          <w:b/>
          <w:szCs w:val="21"/>
        </w:rPr>
        <w:t>前十名股票投资明细元素</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8"/>
        <w:gridCol w:w="900"/>
        <w:gridCol w:w="1087"/>
        <w:gridCol w:w="1260"/>
        <w:gridCol w:w="1620"/>
        <w:gridCol w:w="2520"/>
      </w:tblGrid>
      <w:tr w:rsidR="00000000" w14:paraId="006F9314" w14:textId="77777777">
        <w:trPr>
          <w:trHeight w:val="315"/>
          <w:jc w:val="center"/>
        </w:trPr>
        <w:tc>
          <w:tcPr>
            <w:tcW w:w="908" w:type="dxa"/>
            <w:tcMar>
              <w:top w:w="15" w:type="dxa"/>
              <w:left w:w="15" w:type="dxa"/>
              <w:bottom w:w="0" w:type="dxa"/>
              <w:right w:w="15" w:type="dxa"/>
            </w:tcMar>
            <w:vAlign w:val="center"/>
          </w:tcPr>
          <w:p w14:paraId="13B316E1" w14:textId="77777777" w:rsidR="00000000" w:rsidRDefault="00243083">
            <w:pPr>
              <w:jc w:val="center"/>
              <w:rPr>
                <w:rFonts w:eastAsia="楷体_GB2312"/>
                <w:b/>
                <w:szCs w:val="21"/>
              </w:rPr>
            </w:pPr>
            <w:r>
              <w:rPr>
                <w:rFonts w:eastAsia="楷体_GB2312"/>
                <w:b/>
                <w:szCs w:val="21"/>
              </w:rPr>
              <w:t>序号（</w:t>
            </w:r>
            <w:r>
              <w:rPr>
                <w:rFonts w:eastAsia="楷体_GB2312"/>
                <w:b/>
                <w:szCs w:val="21"/>
              </w:rPr>
              <w:t>1375</w:t>
            </w:r>
            <w:r>
              <w:rPr>
                <w:rFonts w:eastAsia="楷体_GB2312"/>
                <w:b/>
                <w:szCs w:val="21"/>
              </w:rPr>
              <w:t>）</w:t>
            </w:r>
          </w:p>
        </w:tc>
        <w:tc>
          <w:tcPr>
            <w:tcW w:w="900" w:type="dxa"/>
            <w:tcMar>
              <w:top w:w="15" w:type="dxa"/>
              <w:left w:w="15" w:type="dxa"/>
              <w:bottom w:w="0" w:type="dxa"/>
              <w:right w:w="15" w:type="dxa"/>
            </w:tcMar>
            <w:vAlign w:val="center"/>
          </w:tcPr>
          <w:p w14:paraId="58818277" w14:textId="77777777" w:rsidR="00000000" w:rsidRDefault="00243083">
            <w:pPr>
              <w:jc w:val="center"/>
              <w:rPr>
                <w:rFonts w:eastAsia="楷体_GB2312"/>
                <w:b/>
                <w:szCs w:val="21"/>
              </w:rPr>
            </w:pPr>
            <w:r>
              <w:rPr>
                <w:rFonts w:eastAsia="楷体_GB2312"/>
                <w:b/>
                <w:szCs w:val="21"/>
              </w:rPr>
              <w:t>股票代码（</w:t>
            </w:r>
            <w:r>
              <w:rPr>
                <w:rFonts w:eastAsia="楷体_GB2312"/>
                <w:b/>
                <w:szCs w:val="21"/>
              </w:rPr>
              <w:t>1376</w:t>
            </w:r>
            <w:r>
              <w:rPr>
                <w:rFonts w:eastAsia="楷体_GB2312"/>
                <w:b/>
                <w:szCs w:val="21"/>
              </w:rPr>
              <w:t>）</w:t>
            </w:r>
          </w:p>
        </w:tc>
        <w:tc>
          <w:tcPr>
            <w:tcW w:w="1087" w:type="dxa"/>
            <w:tcMar>
              <w:top w:w="15" w:type="dxa"/>
              <w:left w:w="15" w:type="dxa"/>
              <w:bottom w:w="0" w:type="dxa"/>
              <w:right w:w="15" w:type="dxa"/>
            </w:tcMar>
            <w:vAlign w:val="center"/>
          </w:tcPr>
          <w:p w14:paraId="7B76E911" w14:textId="77777777" w:rsidR="00000000" w:rsidRDefault="00243083">
            <w:pPr>
              <w:jc w:val="center"/>
              <w:rPr>
                <w:rFonts w:eastAsia="楷体_GB2312"/>
                <w:b/>
                <w:szCs w:val="21"/>
              </w:rPr>
            </w:pPr>
            <w:r>
              <w:rPr>
                <w:rFonts w:eastAsia="楷体_GB2312"/>
                <w:b/>
                <w:szCs w:val="21"/>
              </w:rPr>
              <w:t>股票名称（</w:t>
            </w:r>
            <w:r>
              <w:rPr>
                <w:rFonts w:eastAsia="楷体_GB2312"/>
                <w:b/>
                <w:szCs w:val="21"/>
              </w:rPr>
              <w:t>1379</w:t>
            </w:r>
            <w:r>
              <w:rPr>
                <w:rFonts w:eastAsia="楷体_GB2312"/>
                <w:b/>
                <w:szCs w:val="21"/>
              </w:rPr>
              <w:t>）</w:t>
            </w:r>
          </w:p>
        </w:tc>
        <w:tc>
          <w:tcPr>
            <w:tcW w:w="1260" w:type="dxa"/>
            <w:tcMar>
              <w:top w:w="15" w:type="dxa"/>
              <w:left w:w="15" w:type="dxa"/>
              <w:bottom w:w="0" w:type="dxa"/>
              <w:right w:w="15" w:type="dxa"/>
            </w:tcMar>
            <w:vAlign w:val="center"/>
          </w:tcPr>
          <w:p w14:paraId="1BD82937" w14:textId="77777777" w:rsidR="00000000" w:rsidRDefault="00243083">
            <w:pPr>
              <w:jc w:val="center"/>
              <w:rPr>
                <w:rFonts w:eastAsia="楷体_GB2312"/>
                <w:b/>
                <w:szCs w:val="21"/>
              </w:rPr>
            </w:pPr>
            <w:r>
              <w:rPr>
                <w:rFonts w:eastAsia="楷体_GB2312"/>
                <w:b/>
                <w:szCs w:val="21"/>
              </w:rPr>
              <w:t>数量（股）</w:t>
            </w:r>
            <w:r>
              <w:rPr>
                <w:rFonts w:eastAsia="楷体_GB2312"/>
                <w:b/>
                <w:szCs w:val="21"/>
              </w:rPr>
              <w:t>（</w:t>
            </w:r>
            <w:r>
              <w:rPr>
                <w:rFonts w:eastAsia="楷体_GB2312"/>
                <w:b/>
                <w:szCs w:val="21"/>
              </w:rPr>
              <w:t>1382</w:t>
            </w:r>
            <w:r>
              <w:rPr>
                <w:rFonts w:eastAsia="楷体_GB2312"/>
                <w:b/>
                <w:szCs w:val="21"/>
              </w:rPr>
              <w:t>）</w:t>
            </w:r>
          </w:p>
        </w:tc>
        <w:tc>
          <w:tcPr>
            <w:tcW w:w="1620" w:type="dxa"/>
            <w:tcMar>
              <w:top w:w="15" w:type="dxa"/>
              <w:left w:w="15" w:type="dxa"/>
              <w:bottom w:w="0" w:type="dxa"/>
              <w:right w:w="15" w:type="dxa"/>
            </w:tcMar>
            <w:vAlign w:val="center"/>
          </w:tcPr>
          <w:p w14:paraId="4EB1D628" w14:textId="77777777" w:rsidR="00000000" w:rsidRDefault="00243083">
            <w:pPr>
              <w:jc w:val="center"/>
              <w:rPr>
                <w:rFonts w:eastAsia="楷体_GB2312"/>
                <w:b/>
                <w:szCs w:val="21"/>
              </w:rPr>
            </w:pPr>
            <w:r>
              <w:rPr>
                <w:rFonts w:eastAsia="楷体_GB2312"/>
                <w:b/>
                <w:szCs w:val="21"/>
              </w:rPr>
              <w:t>公允价值（元）</w:t>
            </w:r>
          </w:p>
          <w:p w14:paraId="177198B2" w14:textId="77777777" w:rsidR="00000000" w:rsidRDefault="00243083">
            <w:pPr>
              <w:jc w:val="center"/>
              <w:rPr>
                <w:rFonts w:eastAsia="楷体_GB2312"/>
                <w:b/>
                <w:szCs w:val="21"/>
              </w:rPr>
            </w:pPr>
            <w:r>
              <w:rPr>
                <w:rFonts w:eastAsia="楷体_GB2312"/>
                <w:b/>
                <w:szCs w:val="21"/>
              </w:rPr>
              <w:t>（</w:t>
            </w:r>
            <w:r>
              <w:rPr>
                <w:rFonts w:eastAsia="楷体_GB2312"/>
                <w:b/>
                <w:szCs w:val="21"/>
              </w:rPr>
              <w:t>1383</w:t>
            </w:r>
            <w:r>
              <w:rPr>
                <w:rFonts w:eastAsia="楷体_GB2312"/>
                <w:b/>
                <w:szCs w:val="21"/>
              </w:rPr>
              <w:t>）</w:t>
            </w:r>
          </w:p>
        </w:tc>
        <w:tc>
          <w:tcPr>
            <w:tcW w:w="2520" w:type="dxa"/>
            <w:tcMar>
              <w:top w:w="15" w:type="dxa"/>
              <w:left w:w="15" w:type="dxa"/>
              <w:bottom w:w="0" w:type="dxa"/>
              <w:right w:w="15" w:type="dxa"/>
            </w:tcMar>
            <w:vAlign w:val="center"/>
          </w:tcPr>
          <w:p w14:paraId="7BFBA82C" w14:textId="77777777" w:rsidR="00000000" w:rsidRDefault="00243083">
            <w:pPr>
              <w:jc w:val="center"/>
              <w:rPr>
                <w:rFonts w:eastAsia="楷体_GB2312"/>
                <w:b/>
                <w:szCs w:val="21"/>
              </w:rPr>
            </w:pPr>
            <w:r>
              <w:rPr>
                <w:rFonts w:eastAsia="楷体_GB2312"/>
                <w:b/>
                <w:szCs w:val="21"/>
              </w:rPr>
              <w:t>占基金资产净值比例（％）（</w:t>
            </w:r>
            <w:r>
              <w:rPr>
                <w:rFonts w:eastAsia="楷体_GB2312"/>
                <w:b/>
                <w:szCs w:val="21"/>
              </w:rPr>
              <w:t>1384</w:t>
            </w:r>
            <w:r>
              <w:rPr>
                <w:rFonts w:eastAsia="楷体_GB2312"/>
                <w:b/>
                <w:szCs w:val="21"/>
              </w:rPr>
              <w:t>）</w:t>
            </w:r>
          </w:p>
        </w:tc>
      </w:tr>
      <w:tr w:rsidR="00000000" w14:paraId="43F0A342" w14:textId="77777777">
        <w:trPr>
          <w:trHeight w:val="285"/>
          <w:jc w:val="center"/>
        </w:trPr>
        <w:tc>
          <w:tcPr>
            <w:tcW w:w="908" w:type="dxa"/>
            <w:tcMar>
              <w:top w:w="15" w:type="dxa"/>
              <w:left w:w="15" w:type="dxa"/>
              <w:bottom w:w="0" w:type="dxa"/>
              <w:right w:w="15" w:type="dxa"/>
            </w:tcMar>
            <w:vAlign w:val="center"/>
          </w:tcPr>
          <w:p w14:paraId="536A19BE" w14:textId="77777777" w:rsidR="00000000" w:rsidRDefault="00243083">
            <w:pPr>
              <w:jc w:val="center"/>
              <w:rPr>
                <w:rFonts w:eastAsia="楷体_GB2312"/>
                <w:szCs w:val="21"/>
              </w:rPr>
            </w:pPr>
            <w:r>
              <w:rPr>
                <w:rFonts w:eastAsia="楷体_GB2312"/>
                <w:szCs w:val="21"/>
              </w:rPr>
              <w:t>1</w:t>
            </w:r>
          </w:p>
        </w:tc>
        <w:tc>
          <w:tcPr>
            <w:tcW w:w="900" w:type="dxa"/>
            <w:tcMar>
              <w:top w:w="15" w:type="dxa"/>
              <w:left w:w="15" w:type="dxa"/>
              <w:bottom w:w="0" w:type="dxa"/>
              <w:right w:w="15" w:type="dxa"/>
            </w:tcMar>
            <w:vAlign w:val="bottom"/>
          </w:tcPr>
          <w:p w14:paraId="286A5FB3" w14:textId="77777777" w:rsidR="00000000" w:rsidRDefault="00243083">
            <w:pPr>
              <w:jc w:val="center"/>
              <w:rPr>
                <w:rFonts w:eastAsia="楷体_GB2312"/>
                <w:szCs w:val="21"/>
              </w:rPr>
            </w:pPr>
          </w:p>
        </w:tc>
        <w:tc>
          <w:tcPr>
            <w:tcW w:w="1087" w:type="dxa"/>
            <w:tcMar>
              <w:top w:w="15" w:type="dxa"/>
              <w:left w:w="15" w:type="dxa"/>
              <w:bottom w:w="0" w:type="dxa"/>
              <w:right w:w="15" w:type="dxa"/>
            </w:tcMar>
            <w:vAlign w:val="bottom"/>
          </w:tcPr>
          <w:p w14:paraId="13E61485" w14:textId="77777777" w:rsidR="00000000" w:rsidRDefault="00243083">
            <w:pPr>
              <w:jc w:val="center"/>
              <w:rPr>
                <w:rFonts w:eastAsia="楷体_GB2312"/>
                <w:szCs w:val="21"/>
              </w:rPr>
            </w:pPr>
          </w:p>
        </w:tc>
        <w:tc>
          <w:tcPr>
            <w:tcW w:w="1260" w:type="dxa"/>
            <w:tcMar>
              <w:top w:w="15" w:type="dxa"/>
              <w:left w:w="15" w:type="dxa"/>
              <w:bottom w:w="0" w:type="dxa"/>
              <w:right w:w="15" w:type="dxa"/>
            </w:tcMar>
            <w:vAlign w:val="bottom"/>
          </w:tcPr>
          <w:p w14:paraId="7CADF885" w14:textId="77777777" w:rsidR="00000000" w:rsidRDefault="00243083">
            <w:pPr>
              <w:jc w:val="center"/>
              <w:rPr>
                <w:rFonts w:eastAsia="楷体_GB2312"/>
                <w:szCs w:val="21"/>
              </w:rPr>
            </w:pPr>
          </w:p>
        </w:tc>
        <w:tc>
          <w:tcPr>
            <w:tcW w:w="1620" w:type="dxa"/>
            <w:tcMar>
              <w:top w:w="15" w:type="dxa"/>
              <w:left w:w="15" w:type="dxa"/>
              <w:bottom w:w="0" w:type="dxa"/>
              <w:right w:w="15" w:type="dxa"/>
            </w:tcMar>
            <w:vAlign w:val="bottom"/>
          </w:tcPr>
          <w:p w14:paraId="39240E16" w14:textId="77777777" w:rsidR="00000000" w:rsidRDefault="00243083">
            <w:pPr>
              <w:jc w:val="center"/>
              <w:rPr>
                <w:rFonts w:eastAsia="楷体_GB2312"/>
                <w:szCs w:val="21"/>
              </w:rPr>
            </w:pPr>
          </w:p>
        </w:tc>
        <w:tc>
          <w:tcPr>
            <w:tcW w:w="2520" w:type="dxa"/>
            <w:tcMar>
              <w:top w:w="15" w:type="dxa"/>
              <w:left w:w="15" w:type="dxa"/>
              <w:bottom w:w="0" w:type="dxa"/>
              <w:right w:w="15" w:type="dxa"/>
            </w:tcMar>
            <w:vAlign w:val="bottom"/>
          </w:tcPr>
          <w:p w14:paraId="373D40ED" w14:textId="77777777" w:rsidR="00000000" w:rsidRDefault="00243083">
            <w:pPr>
              <w:jc w:val="center"/>
              <w:rPr>
                <w:rFonts w:eastAsia="楷体_GB2312"/>
                <w:szCs w:val="21"/>
              </w:rPr>
            </w:pPr>
          </w:p>
        </w:tc>
      </w:tr>
      <w:tr w:rsidR="00000000" w14:paraId="49909FA5" w14:textId="77777777">
        <w:trPr>
          <w:trHeight w:val="285"/>
          <w:jc w:val="center"/>
        </w:trPr>
        <w:tc>
          <w:tcPr>
            <w:tcW w:w="908" w:type="dxa"/>
            <w:tcMar>
              <w:top w:w="15" w:type="dxa"/>
              <w:left w:w="15" w:type="dxa"/>
              <w:bottom w:w="0" w:type="dxa"/>
              <w:right w:w="15" w:type="dxa"/>
            </w:tcMar>
            <w:vAlign w:val="center"/>
          </w:tcPr>
          <w:p w14:paraId="01B3E8AE" w14:textId="77777777" w:rsidR="00000000" w:rsidRDefault="00243083">
            <w:pPr>
              <w:jc w:val="center"/>
              <w:rPr>
                <w:rFonts w:eastAsia="楷体_GB2312"/>
                <w:szCs w:val="21"/>
              </w:rPr>
            </w:pPr>
            <w:r>
              <w:rPr>
                <w:rFonts w:eastAsia="楷体_GB2312"/>
                <w:szCs w:val="21"/>
              </w:rPr>
              <w:t>n</w:t>
            </w:r>
          </w:p>
        </w:tc>
        <w:tc>
          <w:tcPr>
            <w:tcW w:w="900" w:type="dxa"/>
            <w:tcMar>
              <w:top w:w="15" w:type="dxa"/>
              <w:left w:w="15" w:type="dxa"/>
              <w:bottom w:w="0" w:type="dxa"/>
              <w:right w:w="15" w:type="dxa"/>
            </w:tcMar>
            <w:vAlign w:val="bottom"/>
          </w:tcPr>
          <w:p w14:paraId="6DF21C8C" w14:textId="77777777" w:rsidR="00000000" w:rsidRDefault="00243083">
            <w:pPr>
              <w:jc w:val="center"/>
              <w:rPr>
                <w:rFonts w:eastAsia="楷体_GB2312"/>
                <w:szCs w:val="21"/>
              </w:rPr>
            </w:pPr>
          </w:p>
        </w:tc>
        <w:tc>
          <w:tcPr>
            <w:tcW w:w="1087" w:type="dxa"/>
            <w:tcMar>
              <w:top w:w="15" w:type="dxa"/>
              <w:left w:w="15" w:type="dxa"/>
              <w:bottom w:w="0" w:type="dxa"/>
              <w:right w:w="15" w:type="dxa"/>
            </w:tcMar>
            <w:vAlign w:val="bottom"/>
          </w:tcPr>
          <w:p w14:paraId="7C3E0FAF" w14:textId="77777777" w:rsidR="00000000" w:rsidRDefault="00243083">
            <w:pPr>
              <w:jc w:val="center"/>
              <w:rPr>
                <w:rFonts w:eastAsia="楷体_GB2312"/>
                <w:szCs w:val="21"/>
              </w:rPr>
            </w:pPr>
          </w:p>
        </w:tc>
        <w:tc>
          <w:tcPr>
            <w:tcW w:w="1260" w:type="dxa"/>
            <w:tcMar>
              <w:top w:w="15" w:type="dxa"/>
              <w:left w:w="15" w:type="dxa"/>
              <w:bottom w:w="0" w:type="dxa"/>
              <w:right w:w="15" w:type="dxa"/>
            </w:tcMar>
            <w:vAlign w:val="bottom"/>
          </w:tcPr>
          <w:p w14:paraId="73ECA1D6" w14:textId="77777777" w:rsidR="00000000" w:rsidRDefault="00243083">
            <w:pPr>
              <w:jc w:val="center"/>
              <w:rPr>
                <w:rFonts w:eastAsia="楷体_GB2312"/>
                <w:szCs w:val="21"/>
              </w:rPr>
            </w:pPr>
          </w:p>
        </w:tc>
        <w:tc>
          <w:tcPr>
            <w:tcW w:w="1620" w:type="dxa"/>
            <w:tcMar>
              <w:top w:w="15" w:type="dxa"/>
              <w:left w:w="15" w:type="dxa"/>
              <w:bottom w:w="0" w:type="dxa"/>
              <w:right w:w="15" w:type="dxa"/>
            </w:tcMar>
            <w:vAlign w:val="bottom"/>
          </w:tcPr>
          <w:p w14:paraId="580972EC" w14:textId="77777777" w:rsidR="00000000" w:rsidRDefault="00243083">
            <w:pPr>
              <w:jc w:val="center"/>
              <w:rPr>
                <w:rFonts w:eastAsia="楷体_GB2312"/>
                <w:szCs w:val="21"/>
              </w:rPr>
            </w:pPr>
          </w:p>
        </w:tc>
        <w:tc>
          <w:tcPr>
            <w:tcW w:w="2520" w:type="dxa"/>
            <w:tcMar>
              <w:top w:w="15" w:type="dxa"/>
              <w:left w:w="15" w:type="dxa"/>
              <w:bottom w:w="0" w:type="dxa"/>
              <w:right w:w="15" w:type="dxa"/>
            </w:tcMar>
            <w:vAlign w:val="bottom"/>
          </w:tcPr>
          <w:p w14:paraId="7D8A9C06" w14:textId="77777777" w:rsidR="00000000" w:rsidRDefault="00243083">
            <w:pPr>
              <w:jc w:val="center"/>
              <w:rPr>
                <w:rFonts w:eastAsia="楷体_GB2312"/>
                <w:szCs w:val="21"/>
              </w:rPr>
            </w:pPr>
          </w:p>
        </w:tc>
      </w:tr>
    </w:tbl>
    <w:p w14:paraId="4C495462" w14:textId="77777777" w:rsidR="00000000" w:rsidRDefault="00243083">
      <w:pPr>
        <w:jc w:val="center"/>
        <w:rPr>
          <w:rFonts w:eastAsia="楷体_GB2312"/>
          <w:b/>
          <w:szCs w:val="21"/>
        </w:rPr>
      </w:pPr>
      <w:r>
        <w:rPr>
          <w:rFonts w:eastAsia="楷体_GB2312"/>
          <w:b/>
          <w:szCs w:val="21"/>
        </w:rPr>
        <w:t>积极投资前五名股票投资明细元素</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8"/>
        <w:gridCol w:w="900"/>
        <w:gridCol w:w="1087"/>
        <w:gridCol w:w="1260"/>
        <w:gridCol w:w="1440"/>
        <w:gridCol w:w="2700"/>
      </w:tblGrid>
      <w:tr w:rsidR="00000000" w14:paraId="214E5EAD" w14:textId="77777777">
        <w:trPr>
          <w:trHeight w:val="315"/>
          <w:jc w:val="center"/>
        </w:trPr>
        <w:tc>
          <w:tcPr>
            <w:tcW w:w="908" w:type="dxa"/>
            <w:tcMar>
              <w:top w:w="15" w:type="dxa"/>
              <w:left w:w="15" w:type="dxa"/>
              <w:bottom w:w="0" w:type="dxa"/>
              <w:right w:w="15" w:type="dxa"/>
            </w:tcMar>
            <w:vAlign w:val="center"/>
          </w:tcPr>
          <w:p w14:paraId="34370C78" w14:textId="77777777" w:rsidR="00000000" w:rsidRDefault="00243083">
            <w:pPr>
              <w:jc w:val="center"/>
              <w:rPr>
                <w:rFonts w:eastAsia="楷体_GB2312"/>
                <w:b/>
                <w:szCs w:val="21"/>
              </w:rPr>
            </w:pPr>
            <w:r>
              <w:rPr>
                <w:rFonts w:eastAsia="楷体_GB2312"/>
                <w:b/>
                <w:szCs w:val="21"/>
              </w:rPr>
              <w:t>序号（</w:t>
            </w:r>
            <w:r>
              <w:rPr>
                <w:rFonts w:eastAsia="楷体_GB2312"/>
                <w:b/>
                <w:szCs w:val="21"/>
              </w:rPr>
              <w:t>1397</w:t>
            </w:r>
            <w:r>
              <w:rPr>
                <w:rFonts w:eastAsia="楷体_GB2312"/>
                <w:b/>
                <w:szCs w:val="21"/>
              </w:rPr>
              <w:t>）</w:t>
            </w:r>
          </w:p>
        </w:tc>
        <w:tc>
          <w:tcPr>
            <w:tcW w:w="900" w:type="dxa"/>
            <w:tcMar>
              <w:top w:w="15" w:type="dxa"/>
              <w:left w:w="15" w:type="dxa"/>
              <w:bottom w:w="0" w:type="dxa"/>
              <w:right w:w="15" w:type="dxa"/>
            </w:tcMar>
            <w:vAlign w:val="center"/>
          </w:tcPr>
          <w:p w14:paraId="3EE61B67" w14:textId="77777777" w:rsidR="00000000" w:rsidRDefault="00243083">
            <w:pPr>
              <w:jc w:val="center"/>
              <w:rPr>
                <w:rFonts w:eastAsia="楷体_GB2312"/>
                <w:b/>
                <w:szCs w:val="21"/>
              </w:rPr>
            </w:pPr>
            <w:r>
              <w:rPr>
                <w:rFonts w:eastAsia="楷体_GB2312"/>
                <w:b/>
                <w:szCs w:val="21"/>
              </w:rPr>
              <w:t>股票代码（</w:t>
            </w:r>
            <w:r>
              <w:rPr>
                <w:rFonts w:eastAsia="楷体_GB2312"/>
                <w:b/>
                <w:szCs w:val="21"/>
              </w:rPr>
              <w:t>1398</w:t>
            </w:r>
            <w:r>
              <w:rPr>
                <w:rFonts w:eastAsia="楷体_GB2312"/>
                <w:b/>
                <w:szCs w:val="21"/>
              </w:rPr>
              <w:t>）</w:t>
            </w:r>
          </w:p>
        </w:tc>
        <w:tc>
          <w:tcPr>
            <w:tcW w:w="1087" w:type="dxa"/>
            <w:tcMar>
              <w:top w:w="15" w:type="dxa"/>
              <w:left w:w="15" w:type="dxa"/>
              <w:bottom w:w="0" w:type="dxa"/>
              <w:right w:w="15" w:type="dxa"/>
            </w:tcMar>
            <w:vAlign w:val="center"/>
          </w:tcPr>
          <w:p w14:paraId="1CB62705" w14:textId="77777777" w:rsidR="00000000" w:rsidRDefault="00243083">
            <w:pPr>
              <w:jc w:val="center"/>
              <w:rPr>
                <w:rFonts w:eastAsia="楷体_GB2312"/>
                <w:b/>
                <w:szCs w:val="21"/>
              </w:rPr>
            </w:pPr>
            <w:r>
              <w:rPr>
                <w:rFonts w:eastAsia="楷体_GB2312"/>
                <w:b/>
                <w:szCs w:val="21"/>
              </w:rPr>
              <w:t>股票名称（</w:t>
            </w:r>
            <w:r>
              <w:rPr>
                <w:rFonts w:eastAsia="楷体_GB2312"/>
                <w:b/>
                <w:szCs w:val="21"/>
              </w:rPr>
              <w:t>1399</w:t>
            </w:r>
            <w:r>
              <w:rPr>
                <w:rFonts w:eastAsia="楷体_GB2312"/>
                <w:b/>
                <w:szCs w:val="21"/>
              </w:rPr>
              <w:t>）</w:t>
            </w:r>
          </w:p>
        </w:tc>
        <w:tc>
          <w:tcPr>
            <w:tcW w:w="1260" w:type="dxa"/>
            <w:tcMar>
              <w:top w:w="15" w:type="dxa"/>
              <w:left w:w="15" w:type="dxa"/>
              <w:bottom w:w="0" w:type="dxa"/>
              <w:right w:w="15" w:type="dxa"/>
            </w:tcMar>
            <w:vAlign w:val="center"/>
          </w:tcPr>
          <w:p w14:paraId="1303B42D" w14:textId="77777777" w:rsidR="00000000" w:rsidRDefault="00243083">
            <w:pPr>
              <w:jc w:val="center"/>
              <w:rPr>
                <w:rFonts w:eastAsia="楷体_GB2312"/>
                <w:b/>
                <w:szCs w:val="21"/>
              </w:rPr>
            </w:pPr>
            <w:r>
              <w:rPr>
                <w:rFonts w:eastAsia="楷体_GB2312"/>
                <w:b/>
                <w:szCs w:val="21"/>
              </w:rPr>
              <w:t>数量（股）（</w:t>
            </w:r>
            <w:r>
              <w:rPr>
                <w:rFonts w:eastAsia="楷体_GB2312"/>
                <w:b/>
                <w:szCs w:val="21"/>
              </w:rPr>
              <w:t>1400</w:t>
            </w:r>
            <w:r>
              <w:rPr>
                <w:rFonts w:eastAsia="楷体_GB2312"/>
                <w:b/>
                <w:szCs w:val="21"/>
              </w:rPr>
              <w:t>）</w:t>
            </w:r>
          </w:p>
        </w:tc>
        <w:tc>
          <w:tcPr>
            <w:tcW w:w="1440" w:type="dxa"/>
            <w:tcMar>
              <w:top w:w="15" w:type="dxa"/>
              <w:left w:w="15" w:type="dxa"/>
              <w:bottom w:w="0" w:type="dxa"/>
              <w:right w:w="15" w:type="dxa"/>
            </w:tcMar>
            <w:vAlign w:val="center"/>
          </w:tcPr>
          <w:p w14:paraId="1023CF28" w14:textId="77777777" w:rsidR="00000000" w:rsidRDefault="00243083">
            <w:pPr>
              <w:jc w:val="center"/>
              <w:rPr>
                <w:rFonts w:eastAsia="楷体_GB2312"/>
                <w:b/>
                <w:szCs w:val="21"/>
              </w:rPr>
            </w:pPr>
            <w:r>
              <w:rPr>
                <w:rFonts w:eastAsia="楷体_GB2312"/>
                <w:b/>
                <w:szCs w:val="21"/>
              </w:rPr>
              <w:t>公允价值（元）</w:t>
            </w:r>
          </w:p>
          <w:p w14:paraId="48CEFCD5" w14:textId="77777777" w:rsidR="00000000" w:rsidRDefault="00243083">
            <w:pPr>
              <w:jc w:val="center"/>
              <w:rPr>
                <w:rFonts w:eastAsia="楷体_GB2312"/>
                <w:b/>
                <w:szCs w:val="21"/>
              </w:rPr>
            </w:pPr>
            <w:r>
              <w:rPr>
                <w:rFonts w:eastAsia="楷体_GB2312"/>
                <w:b/>
                <w:szCs w:val="21"/>
              </w:rPr>
              <w:t>（</w:t>
            </w:r>
            <w:r>
              <w:rPr>
                <w:rFonts w:eastAsia="楷体_GB2312"/>
                <w:b/>
                <w:szCs w:val="21"/>
              </w:rPr>
              <w:t>1403</w:t>
            </w:r>
            <w:r>
              <w:rPr>
                <w:rFonts w:eastAsia="楷体_GB2312"/>
                <w:b/>
                <w:szCs w:val="21"/>
              </w:rPr>
              <w:t>）</w:t>
            </w:r>
          </w:p>
        </w:tc>
        <w:tc>
          <w:tcPr>
            <w:tcW w:w="2700" w:type="dxa"/>
            <w:tcMar>
              <w:top w:w="15" w:type="dxa"/>
              <w:left w:w="15" w:type="dxa"/>
              <w:bottom w:w="0" w:type="dxa"/>
              <w:right w:w="15" w:type="dxa"/>
            </w:tcMar>
            <w:vAlign w:val="center"/>
          </w:tcPr>
          <w:p w14:paraId="47C66646" w14:textId="77777777" w:rsidR="00000000" w:rsidRDefault="00243083">
            <w:pPr>
              <w:jc w:val="center"/>
              <w:rPr>
                <w:rFonts w:eastAsia="楷体_GB2312"/>
                <w:b/>
                <w:szCs w:val="21"/>
              </w:rPr>
            </w:pPr>
            <w:r>
              <w:rPr>
                <w:rFonts w:eastAsia="楷体_GB2312"/>
                <w:b/>
                <w:szCs w:val="21"/>
              </w:rPr>
              <w:t>占基金资产净值比例（％）（</w:t>
            </w:r>
            <w:r>
              <w:rPr>
                <w:rFonts w:eastAsia="楷体_GB2312"/>
                <w:b/>
                <w:szCs w:val="21"/>
              </w:rPr>
              <w:t>1404</w:t>
            </w:r>
            <w:r>
              <w:rPr>
                <w:rFonts w:eastAsia="楷体_GB2312"/>
                <w:b/>
                <w:szCs w:val="21"/>
              </w:rPr>
              <w:t>）</w:t>
            </w:r>
          </w:p>
        </w:tc>
      </w:tr>
      <w:tr w:rsidR="00000000" w14:paraId="28BB55D6" w14:textId="77777777">
        <w:trPr>
          <w:trHeight w:val="285"/>
          <w:jc w:val="center"/>
        </w:trPr>
        <w:tc>
          <w:tcPr>
            <w:tcW w:w="908" w:type="dxa"/>
            <w:tcMar>
              <w:top w:w="15" w:type="dxa"/>
              <w:left w:w="15" w:type="dxa"/>
              <w:bottom w:w="0" w:type="dxa"/>
              <w:right w:w="15" w:type="dxa"/>
            </w:tcMar>
            <w:vAlign w:val="center"/>
          </w:tcPr>
          <w:p w14:paraId="5692E51E" w14:textId="77777777" w:rsidR="00000000" w:rsidRDefault="00243083">
            <w:pPr>
              <w:jc w:val="center"/>
              <w:rPr>
                <w:rFonts w:eastAsia="楷体_GB2312"/>
                <w:szCs w:val="21"/>
              </w:rPr>
            </w:pPr>
            <w:r>
              <w:rPr>
                <w:rFonts w:eastAsia="楷体_GB2312"/>
                <w:szCs w:val="21"/>
              </w:rPr>
              <w:t>1</w:t>
            </w:r>
          </w:p>
        </w:tc>
        <w:tc>
          <w:tcPr>
            <w:tcW w:w="900" w:type="dxa"/>
            <w:tcMar>
              <w:top w:w="15" w:type="dxa"/>
              <w:left w:w="15" w:type="dxa"/>
              <w:bottom w:w="0" w:type="dxa"/>
              <w:right w:w="15" w:type="dxa"/>
            </w:tcMar>
            <w:vAlign w:val="bottom"/>
          </w:tcPr>
          <w:p w14:paraId="5C6C9AAB" w14:textId="77777777" w:rsidR="00000000" w:rsidRDefault="00243083">
            <w:pPr>
              <w:jc w:val="center"/>
              <w:rPr>
                <w:rFonts w:eastAsia="楷体_GB2312"/>
                <w:szCs w:val="21"/>
              </w:rPr>
            </w:pPr>
          </w:p>
        </w:tc>
        <w:tc>
          <w:tcPr>
            <w:tcW w:w="1087" w:type="dxa"/>
            <w:tcMar>
              <w:top w:w="15" w:type="dxa"/>
              <w:left w:w="15" w:type="dxa"/>
              <w:bottom w:w="0" w:type="dxa"/>
              <w:right w:w="15" w:type="dxa"/>
            </w:tcMar>
            <w:vAlign w:val="bottom"/>
          </w:tcPr>
          <w:p w14:paraId="4D768C1B" w14:textId="77777777" w:rsidR="00000000" w:rsidRDefault="00243083">
            <w:pPr>
              <w:jc w:val="center"/>
              <w:rPr>
                <w:rFonts w:eastAsia="楷体_GB2312"/>
                <w:szCs w:val="21"/>
              </w:rPr>
            </w:pPr>
          </w:p>
        </w:tc>
        <w:tc>
          <w:tcPr>
            <w:tcW w:w="1260" w:type="dxa"/>
            <w:tcMar>
              <w:top w:w="15" w:type="dxa"/>
              <w:left w:w="15" w:type="dxa"/>
              <w:bottom w:w="0" w:type="dxa"/>
              <w:right w:w="15" w:type="dxa"/>
            </w:tcMar>
            <w:vAlign w:val="bottom"/>
          </w:tcPr>
          <w:p w14:paraId="57E9B68F" w14:textId="77777777" w:rsidR="00000000" w:rsidRDefault="00243083">
            <w:pPr>
              <w:jc w:val="center"/>
              <w:rPr>
                <w:rFonts w:eastAsia="楷体_GB2312"/>
                <w:szCs w:val="21"/>
              </w:rPr>
            </w:pPr>
          </w:p>
        </w:tc>
        <w:tc>
          <w:tcPr>
            <w:tcW w:w="1440" w:type="dxa"/>
            <w:tcMar>
              <w:top w:w="15" w:type="dxa"/>
              <w:left w:w="15" w:type="dxa"/>
              <w:bottom w:w="0" w:type="dxa"/>
              <w:right w:w="15" w:type="dxa"/>
            </w:tcMar>
            <w:vAlign w:val="bottom"/>
          </w:tcPr>
          <w:p w14:paraId="3C0D621E" w14:textId="77777777" w:rsidR="00000000" w:rsidRDefault="00243083">
            <w:pPr>
              <w:jc w:val="center"/>
              <w:rPr>
                <w:rFonts w:eastAsia="楷体_GB2312"/>
                <w:szCs w:val="21"/>
              </w:rPr>
            </w:pPr>
          </w:p>
        </w:tc>
        <w:tc>
          <w:tcPr>
            <w:tcW w:w="2700" w:type="dxa"/>
            <w:tcMar>
              <w:top w:w="15" w:type="dxa"/>
              <w:left w:w="15" w:type="dxa"/>
              <w:bottom w:w="0" w:type="dxa"/>
              <w:right w:w="15" w:type="dxa"/>
            </w:tcMar>
            <w:vAlign w:val="bottom"/>
          </w:tcPr>
          <w:p w14:paraId="6879EE64" w14:textId="77777777" w:rsidR="00000000" w:rsidRDefault="00243083">
            <w:pPr>
              <w:jc w:val="center"/>
              <w:rPr>
                <w:rFonts w:eastAsia="楷体_GB2312"/>
                <w:szCs w:val="21"/>
              </w:rPr>
            </w:pPr>
          </w:p>
        </w:tc>
      </w:tr>
      <w:tr w:rsidR="00000000" w14:paraId="4934D503" w14:textId="77777777">
        <w:trPr>
          <w:trHeight w:val="285"/>
          <w:jc w:val="center"/>
        </w:trPr>
        <w:tc>
          <w:tcPr>
            <w:tcW w:w="908" w:type="dxa"/>
            <w:tcMar>
              <w:top w:w="15" w:type="dxa"/>
              <w:left w:w="15" w:type="dxa"/>
              <w:bottom w:w="0" w:type="dxa"/>
              <w:right w:w="15" w:type="dxa"/>
            </w:tcMar>
            <w:vAlign w:val="center"/>
          </w:tcPr>
          <w:p w14:paraId="35D8AE9C" w14:textId="77777777" w:rsidR="00000000" w:rsidRDefault="00243083">
            <w:pPr>
              <w:jc w:val="center"/>
              <w:rPr>
                <w:rFonts w:eastAsia="楷体_GB2312"/>
                <w:szCs w:val="21"/>
              </w:rPr>
            </w:pPr>
            <w:r>
              <w:rPr>
                <w:rFonts w:eastAsia="楷体_GB2312"/>
                <w:szCs w:val="21"/>
              </w:rPr>
              <w:t>n</w:t>
            </w:r>
          </w:p>
        </w:tc>
        <w:tc>
          <w:tcPr>
            <w:tcW w:w="900" w:type="dxa"/>
            <w:tcMar>
              <w:top w:w="15" w:type="dxa"/>
              <w:left w:w="15" w:type="dxa"/>
              <w:bottom w:w="0" w:type="dxa"/>
              <w:right w:w="15" w:type="dxa"/>
            </w:tcMar>
            <w:vAlign w:val="bottom"/>
          </w:tcPr>
          <w:p w14:paraId="54AF7588" w14:textId="77777777" w:rsidR="00000000" w:rsidRDefault="00243083">
            <w:pPr>
              <w:jc w:val="center"/>
              <w:rPr>
                <w:rFonts w:eastAsia="楷体_GB2312"/>
                <w:szCs w:val="21"/>
              </w:rPr>
            </w:pPr>
          </w:p>
        </w:tc>
        <w:tc>
          <w:tcPr>
            <w:tcW w:w="1087" w:type="dxa"/>
            <w:tcMar>
              <w:top w:w="15" w:type="dxa"/>
              <w:left w:w="15" w:type="dxa"/>
              <w:bottom w:w="0" w:type="dxa"/>
              <w:right w:w="15" w:type="dxa"/>
            </w:tcMar>
            <w:vAlign w:val="bottom"/>
          </w:tcPr>
          <w:p w14:paraId="6A3CBA98" w14:textId="77777777" w:rsidR="00000000" w:rsidRDefault="00243083">
            <w:pPr>
              <w:jc w:val="center"/>
              <w:rPr>
                <w:rFonts w:eastAsia="楷体_GB2312"/>
                <w:szCs w:val="21"/>
              </w:rPr>
            </w:pPr>
          </w:p>
        </w:tc>
        <w:tc>
          <w:tcPr>
            <w:tcW w:w="1260" w:type="dxa"/>
            <w:tcMar>
              <w:top w:w="15" w:type="dxa"/>
              <w:left w:w="15" w:type="dxa"/>
              <w:bottom w:w="0" w:type="dxa"/>
              <w:right w:w="15" w:type="dxa"/>
            </w:tcMar>
            <w:vAlign w:val="bottom"/>
          </w:tcPr>
          <w:p w14:paraId="36CF5168" w14:textId="77777777" w:rsidR="00000000" w:rsidRDefault="00243083">
            <w:pPr>
              <w:jc w:val="center"/>
              <w:rPr>
                <w:rFonts w:eastAsia="楷体_GB2312"/>
                <w:szCs w:val="21"/>
              </w:rPr>
            </w:pPr>
          </w:p>
        </w:tc>
        <w:tc>
          <w:tcPr>
            <w:tcW w:w="1440" w:type="dxa"/>
            <w:tcMar>
              <w:top w:w="15" w:type="dxa"/>
              <w:left w:w="15" w:type="dxa"/>
              <w:bottom w:w="0" w:type="dxa"/>
              <w:right w:w="15" w:type="dxa"/>
            </w:tcMar>
            <w:vAlign w:val="bottom"/>
          </w:tcPr>
          <w:p w14:paraId="4A72C3BE" w14:textId="77777777" w:rsidR="00000000" w:rsidRDefault="00243083">
            <w:pPr>
              <w:jc w:val="center"/>
              <w:rPr>
                <w:rFonts w:eastAsia="楷体_GB2312"/>
                <w:szCs w:val="21"/>
              </w:rPr>
            </w:pPr>
          </w:p>
        </w:tc>
        <w:tc>
          <w:tcPr>
            <w:tcW w:w="2700" w:type="dxa"/>
            <w:tcMar>
              <w:top w:w="15" w:type="dxa"/>
              <w:left w:w="15" w:type="dxa"/>
              <w:bottom w:w="0" w:type="dxa"/>
              <w:right w:w="15" w:type="dxa"/>
            </w:tcMar>
            <w:vAlign w:val="bottom"/>
          </w:tcPr>
          <w:p w14:paraId="2FCC3C5F" w14:textId="77777777" w:rsidR="00000000" w:rsidRDefault="00243083">
            <w:pPr>
              <w:jc w:val="center"/>
              <w:rPr>
                <w:rFonts w:eastAsia="楷体_GB2312"/>
                <w:szCs w:val="21"/>
              </w:rPr>
            </w:pPr>
          </w:p>
        </w:tc>
      </w:tr>
    </w:tbl>
    <w:p w14:paraId="0ADCBF64" w14:textId="77777777" w:rsidR="00000000" w:rsidRDefault="00243083">
      <w:pPr>
        <w:jc w:val="center"/>
        <w:rPr>
          <w:rFonts w:eastAsia="楷体_GB2312"/>
          <w:b/>
          <w:szCs w:val="21"/>
        </w:rPr>
      </w:pPr>
      <w:r>
        <w:rPr>
          <w:rFonts w:eastAsia="楷体_GB2312"/>
          <w:b/>
          <w:szCs w:val="21"/>
        </w:rPr>
        <w:t>指数投资前五名股票投资明细元素</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8"/>
        <w:gridCol w:w="900"/>
        <w:gridCol w:w="1087"/>
        <w:gridCol w:w="1260"/>
        <w:gridCol w:w="1440"/>
        <w:gridCol w:w="2700"/>
      </w:tblGrid>
      <w:tr w:rsidR="00000000" w14:paraId="6BE01DFF" w14:textId="77777777">
        <w:trPr>
          <w:trHeight w:val="315"/>
          <w:jc w:val="center"/>
        </w:trPr>
        <w:tc>
          <w:tcPr>
            <w:tcW w:w="908" w:type="dxa"/>
            <w:tcMar>
              <w:top w:w="15" w:type="dxa"/>
              <w:left w:w="15" w:type="dxa"/>
              <w:bottom w:w="0" w:type="dxa"/>
              <w:right w:w="15" w:type="dxa"/>
            </w:tcMar>
            <w:vAlign w:val="center"/>
          </w:tcPr>
          <w:p w14:paraId="51A71700" w14:textId="77777777" w:rsidR="00000000" w:rsidRDefault="00243083">
            <w:pPr>
              <w:jc w:val="center"/>
              <w:rPr>
                <w:rFonts w:eastAsia="楷体_GB2312"/>
                <w:b/>
                <w:szCs w:val="21"/>
              </w:rPr>
            </w:pPr>
            <w:r>
              <w:rPr>
                <w:rFonts w:eastAsia="楷体_GB2312"/>
                <w:b/>
                <w:szCs w:val="21"/>
              </w:rPr>
              <w:t>序号（</w:t>
            </w:r>
            <w:r>
              <w:rPr>
                <w:rFonts w:eastAsia="楷体_GB2312"/>
                <w:b/>
                <w:szCs w:val="21"/>
              </w:rPr>
              <w:t>1387</w:t>
            </w:r>
            <w:r>
              <w:rPr>
                <w:rFonts w:eastAsia="楷体_GB2312"/>
                <w:b/>
                <w:szCs w:val="21"/>
              </w:rPr>
              <w:t>）</w:t>
            </w:r>
          </w:p>
        </w:tc>
        <w:tc>
          <w:tcPr>
            <w:tcW w:w="900" w:type="dxa"/>
            <w:tcMar>
              <w:top w:w="15" w:type="dxa"/>
              <w:left w:w="15" w:type="dxa"/>
              <w:bottom w:w="0" w:type="dxa"/>
              <w:right w:w="15" w:type="dxa"/>
            </w:tcMar>
            <w:vAlign w:val="center"/>
          </w:tcPr>
          <w:p w14:paraId="122A3345" w14:textId="77777777" w:rsidR="00000000" w:rsidRDefault="00243083">
            <w:pPr>
              <w:jc w:val="center"/>
              <w:rPr>
                <w:rFonts w:eastAsia="楷体_GB2312"/>
                <w:b/>
                <w:szCs w:val="21"/>
              </w:rPr>
            </w:pPr>
            <w:r>
              <w:rPr>
                <w:rFonts w:eastAsia="楷体_GB2312"/>
                <w:b/>
                <w:szCs w:val="21"/>
              </w:rPr>
              <w:t>股票代码（</w:t>
            </w:r>
            <w:r>
              <w:rPr>
                <w:rFonts w:eastAsia="楷体_GB2312"/>
                <w:b/>
                <w:szCs w:val="21"/>
              </w:rPr>
              <w:t>1388</w:t>
            </w:r>
            <w:r>
              <w:rPr>
                <w:rFonts w:eastAsia="楷体_GB2312"/>
                <w:b/>
                <w:szCs w:val="21"/>
              </w:rPr>
              <w:t>）</w:t>
            </w:r>
          </w:p>
        </w:tc>
        <w:tc>
          <w:tcPr>
            <w:tcW w:w="1087" w:type="dxa"/>
            <w:tcMar>
              <w:top w:w="15" w:type="dxa"/>
              <w:left w:w="15" w:type="dxa"/>
              <w:bottom w:w="0" w:type="dxa"/>
              <w:right w:w="15" w:type="dxa"/>
            </w:tcMar>
            <w:vAlign w:val="center"/>
          </w:tcPr>
          <w:p w14:paraId="77FD907D" w14:textId="77777777" w:rsidR="00000000" w:rsidRDefault="00243083">
            <w:pPr>
              <w:jc w:val="center"/>
              <w:rPr>
                <w:rFonts w:eastAsia="楷体_GB2312"/>
                <w:b/>
                <w:szCs w:val="21"/>
              </w:rPr>
            </w:pPr>
            <w:r>
              <w:rPr>
                <w:rFonts w:eastAsia="楷体_GB2312"/>
                <w:b/>
                <w:szCs w:val="21"/>
              </w:rPr>
              <w:t>股票名称（</w:t>
            </w:r>
            <w:r>
              <w:rPr>
                <w:rFonts w:eastAsia="楷体_GB2312"/>
                <w:b/>
                <w:szCs w:val="21"/>
              </w:rPr>
              <w:t>1389</w:t>
            </w:r>
            <w:r>
              <w:rPr>
                <w:rFonts w:eastAsia="楷体_GB2312"/>
                <w:b/>
                <w:szCs w:val="21"/>
              </w:rPr>
              <w:t>）</w:t>
            </w:r>
          </w:p>
        </w:tc>
        <w:tc>
          <w:tcPr>
            <w:tcW w:w="1260" w:type="dxa"/>
            <w:tcMar>
              <w:top w:w="15" w:type="dxa"/>
              <w:left w:w="15" w:type="dxa"/>
              <w:bottom w:w="0" w:type="dxa"/>
              <w:right w:w="15" w:type="dxa"/>
            </w:tcMar>
            <w:vAlign w:val="center"/>
          </w:tcPr>
          <w:p w14:paraId="559D14FA" w14:textId="77777777" w:rsidR="00000000" w:rsidRDefault="00243083">
            <w:pPr>
              <w:jc w:val="center"/>
              <w:rPr>
                <w:rFonts w:eastAsia="楷体_GB2312"/>
                <w:b/>
                <w:szCs w:val="21"/>
              </w:rPr>
            </w:pPr>
            <w:r>
              <w:rPr>
                <w:rFonts w:eastAsia="楷体_GB2312"/>
                <w:b/>
                <w:szCs w:val="21"/>
              </w:rPr>
              <w:t>数量（股）（</w:t>
            </w:r>
            <w:r>
              <w:rPr>
                <w:rFonts w:eastAsia="楷体_GB2312"/>
                <w:b/>
                <w:szCs w:val="21"/>
              </w:rPr>
              <w:t>1390</w:t>
            </w:r>
            <w:r>
              <w:rPr>
                <w:rFonts w:eastAsia="楷体_GB2312"/>
                <w:b/>
                <w:szCs w:val="21"/>
              </w:rPr>
              <w:t>）</w:t>
            </w:r>
          </w:p>
        </w:tc>
        <w:tc>
          <w:tcPr>
            <w:tcW w:w="1440" w:type="dxa"/>
            <w:tcMar>
              <w:top w:w="15" w:type="dxa"/>
              <w:left w:w="15" w:type="dxa"/>
              <w:bottom w:w="0" w:type="dxa"/>
              <w:right w:w="15" w:type="dxa"/>
            </w:tcMar>
            <w:vAlign w:val="center"/>
          </w:tcPr>
          <w:p w14:paraId="063AA78C" w14:textId="77777777" w:rsidR="00000000" w:rsidRDefault="00243083">
            <w:pPr>
              <w:jc w:val="center"/>
              <w:rPr>
                <w:rFonts w:eastAsia="楷体_GB2312"/>
                <w:b/>
                <w:szCs w:val="21"/>
              </w:rPr>
            </w:pPr>
            <w:r>
              <w:rPr>
                <w:rFonts w:eastAsia="楷体_GB2312"/>
                <w:b/>
                <w:szCs w:val="21"/>
              </w:rPr>
              <w:t>公允价值（元）</w:t>
            </w:r>
          </w:p>
          <w:p w14:paraId="133A487B" w14:textId="77777777" w:rsidR="00000000" w:rsidRDefault="00243083">
            <w:pPr>
              <w:jc w:val="center"/>
              <w:rPr>
                <w:rFonts w:eastAsia="楷体_GB2312"/>
                <w:b/>
                <w:szCs w:val="21"/>
              </w:rPr>
            </w:pPr>
            <w:r>
              <w:rPr>
                <w:rFonts w:eastAsia="楷体_GB2312"/>
                <w:b/>
                <w:szCs w:val="21"/>
              </w:rPr>
              <w:t>（</w:t>
            </w:r>
            <w:r>
              <w:rPr>
                <w:rFonts w:eastAsia="楷体_GB2312"/>
                <w:b/>
                <w:szCs w:val="21"/>
              </w:rPr>
              <w:t>1393</w:t>
            </w:r>
            <w:r>
              <w:rPr>
                <w:rFonts w:eastAsia="楷体_GB2312"/>
                <w:b/>
                <w:szCs w:val="21"/>
              </w:rPr>
              <w:t>）</w:t>
            </w:r>
          </w:p>
        </w:tc>
        <w:tc>
          <w:tcPr>
            <w:tcW w:w="2700" w:type="dxa"/>
            <w:tcMar>
              <w:top w:w="15" w:type="dxa"/>
              <w:left w:w="15" w:type="dxa"/>
              <w:bottom w:w="0" w:type="dxa"/>
              <w:right w:w="15" w:type="dxa"/>
            </w:tcMar>
            <w:vAlign w:val="center"/>
          </w:tcPr>
          <w:p w14:paraId="3DFB4703" w14:textId="77777777" w:rsidR="00000000" w:rsidRDefault="00243083">
            <w:pPr>
              <w:jc w:val="center"/>
              <w:rPr>
                <w:rFonts w:eastAsia="楷体_GB2312"/>
                <w:b/>
                <w:szCs w:val="21"/>
              </w:rPr>
            </w:pPr>
            <w:r>
              <w:rPr>
                <w:rFonts w:eastAsia="楷体_GB2312"/>
                <w:b/>
                <w:szCs w:val="21"/>
              </w:rPr>
              <w:t>占基金资产净值比例（％）（</w:t>
            </w:r>
            <w:r>
              <w:rPr>
                <w:rFonts w:eastAsia="楷体_GB2312"/>
                <w:b/>
                <w:szCs w:val="21"/>
              </w:rPr>
              <w:t>1</w:t>
            </w:r>
            <w:r>
              <w:rPr>
                <w:rFonts w:eastAsia="楷体_GB2312"/>
                <w:b/>
                <w:szCs w:val="21"/>
              </w:rPr>
              <w:t>394</w:t>
            </w:r>
            <w:r>
              <w:rPr>
                <w:rFonts w:eastAsia="楷体_GB2312"/>
                <w:b/>
                <w:szCs w:val="21"/>
              </w:rPr>
              <w:t>）</w:t>
            </w:r>
          </w:p>
        </w:tc>
      </w:tr>
      <w:tr w:rsidR="00000000" w14:paraId="6656F97F" w14:textId="77777777">
        <w:trPr>
          <w:trHeight w:val="285"/>
          <w:jc w:val="center"/>
        </w:trPr>
        <w:tc>
          <w:tcPr>
            <w:tcW w:w="908" w:type="dxa"/>
            <w:tcMar>
              <w:top w:w="15" w:type="dxa"/>
              <w:left w:w="15" w:type="dxa"/>
              <w:bottom w:w="0" w:type="dxa"/>
              <w:right w:w="15" w:type="dxa"/>
            </w:tcMar>
            <w:vAlign w:val="center"/>
          </w:tcPr>
          <w:p w14:paraId="0FEBACA9" w14:textId="77777777" w:rsidR="00000000" w:rsidRDefault="00243083">
            <w:pPr>
              <w:jc w:val="center"/>
              <w:rPr>
                <w:rFonts w:eastAsia="楷体_GB2312"/>
                <w:szCs w:val="21"/>
              </w:rPr>
            </w:pPr>
            <w:r>
              <w:rPr>
                <w:rFonts w:eastAsia="楷体_GB2312"/>
                <w:szCs w:val="21"/>
              </w:rPr>
              <w:t>1</w:t>
            </w:r>
          </w:p>
        </w:tc>
        <w:tc>
          <w:tcPr>
            <w:tcW w:w="900" w:type="dxa"/>
            <w:tcMar>
              <w:top w:w="15" w:type="dxa"/>
              <w:left w:w="15" w:type="dxa"/>
              <w:bottom w:w="0" w:type="dxa"/>
              <w:right w:w="15" w:type="dxa"/>
            </w:tcMar>
            <w:vAlign w:val="bottom"/>
          </w:tcPr>
          <w:p w14:paraId="5F4B8DF5" w14:textId="77777777" w:rsidR="00000000" w:rsidRDefault="00243083">
            <w:pPr>
              <w:jc w:val="center"/>
              <w:rPr>
                <w:rFonts w:eastAsia="楷体_GB2312"/>
                <w:szCs w:val="21"/>
              </w:rPr>
            </w:pPr>
          </w:p>
        </w:tc>
        <w:tc>
          <w:tcPr>
            <w:tcW w:w="1087" w:type="dxa"/>
            <w:tcMar>
              <w:top w:w="15" w:type="dxa"/>
              <w:left w:w="15" w:type="dxa"/>
              <w:bottom w:w="0" w:type="dxa"/>
              <w:right w:w="15" w:type="dxa"/>
            </w:tcMar>
            <w:vAlign w:val="bottom"/>
          </w:tcPr>
          <w:p w14:paraId="7091E38A" w14:textId="77777777" w:rsidR="00000000" w:rsidRDefault="00243083">
            <w:pPr>
              <w:jc w:val="center"/>
              <w:rPr>
                <w:rFonts w:eastAsia="楷体_GB2312"/>
                <w:szCs w:val="21"/>
              </w:rPr>
            </w:pPr>
          </w:p>
        </w:tc>
        <w:tc>
          <w:tcPr>
            <w:tcW w:w="1260" w:type="dxa"/>
            <w:tcMar>
              <w:top w:w="15" w:type="dxa"/>
              <w:left w:w="15" w:type="dxa"/>
              <w:bottom w:w="0" w:type="dxa"/>
              <w:right w:w="15" w:type="dxa"/>
            </w:tcMar>
            <w:vAlign w:val="bottom"/>
          </w:tcPr>
          <w:p w14:paraId="27D328C9" w14:textId="77777777" w:rsidR="00000000" w:rsidRDefault="00243083">
            <w:pPr>
              <w:jc w:val="center"/>
              <w:rPr>
                <w:rFonts w:eastAsia="楷体_GB2312"/>
                <w:szCs w:val="21"/>
              </w:rPr>
            </w:pPr>
          </w:p>
        </w:tc>
        <w:tc>
          <w:tcPr>
            <w:tcW w:w="1440" w:type="dxa"/>
            <w:tcMar>
              <w:top w:w="15" w:type="dxa"/>
              <w:left w:w="15" w:type="dxa"/>
              <w:bottom w:w="0" w:type="dxa"/>
              <w:right w:w="15" w:type="dxa"/>
            </w:tcMar>
            <w:vAlign w:val="bottom"/>
          </w:tcPr>
          <w:p w14:paraId="6AD0600A" w14:textId="77777777" w:rsidR="00000000" w:rsidRDefault="00243083">
            <w:pPr>
              <w:jc w:val="center"/>
              <w:rPr>
                <w:rFonts w:eastAsia="楷体_GB2312"/>
                <w:szCs w:val="21"/>
              </w:rPr>
            </w:pPr>
          </w:p>
        </w:tc>
        <w:tc>
          <w:tcPr>
            <w:tcW w:w="2700" w:type="dxa"/>
            <w:tcMar>
              <w:top w:w="15" w:type="dxa"/>
              <w:left w:w="15" w:type="dxa"/>
              <w:bottom w:w="0" w:type="dxa"/>
              <w:right w:w="15" w:type="dxa"/>
            </w:tcMar>
            <w:vAlign w:val="bottom"/>
          </w:tcPr>
          <w:p w14:paraId="5701423D" w14:textId="77777777" w:rsidR="00000000" w:rsidRDefault="00243083">
            <w:pPr>
              <w:jc w:val="center"/>
              <w:rPr>
                <w:rFonts w:eastAsia="楷体_GB2312"/>
                <w:szCs w:val="21"/>
              </w:rPr>
            </w:pPr>
          </w:p>
        </w:tc>
      </w:tr>
      <w:tr w:rsidR="00000000" w14:paraId="611A71C2" w14:textId="77777777">
        <w:trPr>
          <w:trHeight w:val="285"/>
          <w:jc w:val="center"/>
        </w:trPr>
        <w:tc>
          <w:tcPr>
            <w:tcW w:w="908" w:type="dxa"/>
            <w:tcMar>
              <w:top w:w="15" w:type="dxa"/>
              <w:left w:w="15" w:type="dxa"/>
              <w:bottom w:w="0" w:type="dxa"/>
              <w:right w:w="15" w:type="dxa"/>
            </w:tcMar>
            <w:vAlign w:val="center"/>
          </w:tcPr>
          <w:p w14:paraId="31AE6716" w14:textId="77777777" w:rsidR="00000000" w:rsidRDefault="00243083">
            <w:pPr>
              <w:jc w:val="center"/>
              <w:rPr>
                <w:rFonts w:eastAsia="楷体_GB2312"/>
                <w:szCs w:val="21"/>
              </w:rPr>
            </w:pPr>
            <w:r>
              <w:rPr>
                <w:rFonts w:eastAsia="楷体_GB2312"/>
                <w:szCs w:val="21"/>
              </w:rPr>
              <w:t>n</w:t>
            </w:r>
          </w:p>
        </w:tc>
        <w:tc>
          <w:tcPr>
            <w:tcW w:w="900" w:type="dxa"/>
            <w:tcMar>
              <w:top w:w="15" w:type="dxa"/>
              <w:left w:w="15" w:type="dxa"/>
              <w:bottom w:w="0" w:type="dxa"/>
              <w:right w:w="15" w:type="dxa"/>
            </w:tcMar>
            <w:vAlign w:val="bottom"/>
          </w:tcPr>
          <w:p w14:paraId="0AB58AB1" w14:textId="77777777" w:rsidR="00000000" w:rsidRDefault="00243083">
            <w:pPr>
              <w:jc w:val="center"/>
              <w:rPr>
                <w:rFonts w:eastAsia="楷体_GB2312"/>
                <w:szCs w:val="21"/>
              </w:rPr>
            </w:pPr>
          </w:p>
        </w:tc>
        <w:tc>
          <w:tcPr>
            <w:tcW w:w="1087" w:type="dxa"/>
            <w:tcMar>
              <w:top w:w="15" w:type="dxa"/>
              <w:left w:w="15" w:type="dxa"/>
              <w:bottom w:w="0" w:type="dxa"/>
              <w:right w:w="15" w:type="dxa"/>
            </w:tcMar>
            <w:vAlign w:val="bottom"/>
          </w:tcPr>
          <w:p w14:paraId="719657A7" w14:textId="77777777" w:rsidR="00000000" w:rsidRDefault="00243083">
            <w:pPr>
              <w:jc w:val="center"/>
              <w:rPr>
                <w:rFonts w:eastAsia="楷体_GB2312"/>
                <w:szCs w:val="21"/>
              </w:rPr>
            </w:pPr>
          </w:p>
        </w:tc>
        <w:tc>
          <w:tcPr>
            <w:tcW w:w="1260" w:type="dxa"/>
            <w:tcMar>
              <w:top w:w="15" w:type="dxa"/>
              <w:left w:w="15" w:type="dxa"/>
              <w:bottom w:w="0" w:type="dxa"/>
              <w:right w:w="15" w:type="dxa"/>
            </w:tcMar>
            <w:vAlign w:val="bottom"/>
          </w:tcPr>
          <w:p w14:paraId="2FAD9A14" w14:textId="77777777" w:rsidR="00000000" w:rsidRDefault="00243083">
            <w:pPr>
              <w:jc w:val="center"/>
              <w:rPr>
                <w:rFonts w:eastAsia="楷体_GB2312"/>
                <w:szCs w:val="21"/>
              </w:rPr>
            </w:pPr>
          </w:p>
        </w:tc>
        <w:tc>
          <w:tcPr>
            <w:tcW w:w="1440" w:type="dxa"/>
            <w:tcMar>
              <w:top w:w="15" w:type="dxa"/>
              <w:left w:w="15" w:type="dxa"/>
              <w:bottom w:w="0" w:type="dxa"/>
              <w:right w:w="15" w:type="dxa"/>
            </w:tcMar>
            <w:vAlign w:val="bottom"/>
          </w:tcPr>
          <w:p w14:paraId="31FCC736" w14:textId="77777777" w:rsidR="00000000" w:rsidRDefault="00243083">
            <w:pPr>
              <w:jc w:val="center"/>
              <w:rPr>
                <w:rFonts w:eastAsia="楷体_GB2312"/>
                <w:szCs w:val="21"/>
              </w:rPr>
            </w:pPr>
          </w:p>
        </w:tc>
        <w:tc>
          <w:tcPr>
            <w:tcW w:w="2700" w:type="dxa"/>
            <w:tcMar>
              <w:top w:w="15" w:type="dxa"/>
              <w:left w:w="15" w:type="dxa"/>
              <w:bottom w:w="0" w:type="dxa"/>
              <w:right w:w="15" w:type="dxa"/>
            </w:tcMar>
            <w:vAlign w:val="bottom"/>
          </w:tcPr>
          <w:p w14:paraId="49732335" w14:textId="77777777" w:rsidR="00000000" w:rsidRDefault="00243083">
            <w:pPr>
              <w:jc w:val="center"/>
              <w:rPr>
                <w:rFonts w:eastAsia="楷体_GB2312"/>
                <w:szCs w:val="21"/>
              </w:rPr>
            </w:pPr>
          </w:p>
        </w:tc>
      </w:tr>
    </w:tbl>
    <w:p w14:paraId="4E8B0095" w14:textId="77777777" w:rsidR="00000000" w:rsidRDefault="00243083">
      <w:pPr>
        <w:pStyle w:val="BodyText"/>
        <w:numPr>
          <w:ilvl w:val="0"/>
          <w:numId w:val="4"/>
        </w:numPr>
        <w:spacing w:before="0" w:after="0"/>
        <w:rPr>
          <w:rStyle w:val="CODE"/>
          <w:rFonts w:ascii="Times New Roman" w:eastAsia="楷体_GB2312" w:hAnsi="Times New Roman"/>
          <w:spacing w:val="0"/>
          <w:sz w:val="21"/>
          <w:lang w:eastAsia="zh-CN"/>
        </w:rPr>
      </w:pPr>
      <w:r>
        <w:rPr>
          <w:rStyle w:val="CODE"/>
          <w:rFonts w:ascii="Times New Roman" w:eastAsia="楷体_GB2312" w:hAnsi="Times New Roman"/>
          <w:spacing w:val="0"/>
          <w:sz w:val="21"/>
          <w:lang w:eastAsia="zh-CN"/>
        </w:rPr>
        <w:t>表格圆括号中的代号和季报模板中一致，如季报模板有更新，以更新后的季报模板为准。</w:t>
      </w:r>
    </w:p>
    <w:p w14:paraId="45A23D8E" w14:textId="77777777" w:rsidR="00000000" w:rsidRDefault="00243083">
      <w:pPr>
        <w:pStyle w:val="BodyText"/>
        <w:numPr>
          <w:ilvl w:val="0"/>
          <w:numId w:val="4"/>
        </w:numPr>
        <w:tabs>
          <w:tab w:val="left" w:pos="1215"/>
          <w:tab w:val="left" w:pos="1260"/>
        </w:tabs>
        <w:spacing w:before="0" w:after="0"/>
        <w:rPr>
          <w:rStyle w:val="CODE"/>
          <w:rFonts w:ascii="Times New Roman" w:eastAsia="楷体_GB2312" w:hAnsi="Times New Roman"/>
          <w:spacing w:val="0"/>
          <w:sz w:val="21"/>
          <w:lang w:eastAsia="zh-CN"/>
        </w:rPr>
      </w:pPr>
      <w:r>
        <w:rPr>
          <w:rStyle w:val="CODE"/>
          <w:rFonts w:ascii="Times New Roman" w:eastAsia="楷体_GB2312" w:hAnsi="Times New Roman"/>
          <w:spacing w:val="0"/>
          <w:sz w:val="21"/>
          <w:lang w:eastAsia="zh-CN"/>
        </w:rPr>
        <w:t>如指数基金无增强投资部分，则只需填列前十名股票投资明细元素表，并在备注元素（</w:t>
      </w:r>
      <w:r>
        <w:rPr>
          <w:rStyle w:val="CODE"/>
          <w:rFonts w:ascii="Times New Roman" w:eastAsia="楷体_GB2312" w:hAnsi="Times New Roman"/>
          <w:spacing w:val="0"/>
          <w:sz w:val="21"/>
          <w:lang w:eastAsia="zh-CN"/>
        </w:rPr>
        <w:t>1385</w:t>
      </w:r>
      <w:r>
        <w:rPr>
          <w:rStyle w:val="CODE"/>
          <w:rFonts w:ascii="Times New Roman" w:eastAsia="楷体_GB2312" w:hAnsi="Times New Roman"/>
          <w:spacing w:val="0"/>
          <w:sz w:val="21"/>
          <w:lang w:eastAsia="zh-CN"/>
        </w:rPr>
        <w:t>）中说明无积极投资部分。</w:t>
      </w:r>
    </w:p>
    <w:p w14:paraId="7C2039DD" w14:textId="77777777" w:rsidR="00000000" w:rsidRDefault="00243083">
      <w:pPr>
        <w:pStyle w:val="BodyText"/>
        <w:numPr>
          <w:ilvl w:val="0"/>
          <w:numId w:val="4"/>
        </w:numPr>
        <w:tabs>
          <w:tab w:val="left" w:pos="1215"/>
          <w:tab w:val="left" w:pos="1260"/>
        </w:tabs>
        <w:spacing w:before="0" w:after="0"/>
        <w:rPr>
          <w:rStyle w:val="CODE"/>
          <w:rFonts w:ascii="Times New Roman" w:eastAsia="楷体_GB2312" w:hAnsi="Times New Roman"/>
          <w:spacing w:val="0"/>
          <w:sz w:val="21"/>
          <w:lang w:eastAsia="zh-CN"/>
        </w:rPr>
      </w:pPr>
      <w:r>
        <w:rPr>
          <w:rStyle w:val="CODE"/>
          <w:rFonts w:ascii="Times New Roman" w:eastAsia="楷体_GB2312" w:hAnsi="Times New Roman"/>
          <w:spacing w:val="0"/>
          <w:sz w:val="21"/>
          <w:lang w:eastAsia="zh-CN"/>
        </w:rPr>
        <w:t>如为增强指数基金，则无需填列前十名股票投资明细元素表，直接填写积极投资、指数投资前</w:t>
      </w:r>
      <w:r>
        <w:rPr>
          <w:rStyle w:val="CODE"/>
          <w:rFonts w:ascii="Times New Roman" w:eastAsia="楷体_GB2312" w:hAnsi="Times New Roman"/>
          <w:spacing w:val="0"/>
          <w:sz w:val="21"/>
          <w:lang w:eastAsia="zh-CN"/>
        </w:rPr>
        <w:t>5</w:t>
      </w:r>
      <w:r>
        <w:rPr>
          <w:rStyle w:val="CODE"/>
          <w:rFonts w:ascii="Times New Roman" w:eastAsia="楷体_GB2312" w:hAnsi="Times New Roman"/>
          <w:spacing w:val="0"/>
          <w:sz w:val="21"/>
          <w:lang w:eastAsia="zh-CN"/>
        </w:rPr>
        <w:t>名。</w:t>
      </w:r>
    </w:p>
    <w:p w14:paraId="7B58C5D9" w14:textId="77777777" w:rsidR="00000000" w:rsidRDefault="00243083">
      <w:pPr>
        <w:pStyle w:val="Heading1"/>
        <w:keepLines w:val="0"/>
        <w:numPr>
          <w:ilvl w:val="0"/>
          <w:numId w:val="2"/>
        </w:numPr>
        <w:spacing w:beforeLines="50" w:before="156" w:afterLines="50" w:after="156" w:line="240" w:lineRule="auto"/>
        <w:jc w:val="left"/>
        <w:rPr>
          <w:bCs w:val="0"/>
          <w:kern w:val="2"/>
          <w:sz w:val="32"/>
          <w:szCs w:val="24"/>
        </w:rPr>
      </w:pPr>
      <w:bookmarkStart w:id="8" w:name="_Toc337538967"/>
      <w:r>
        <w:rPr>
          <w:bCs w:val="0"/>
          <w:kern w:val="2"/>
          <w:sz w:val="32"/>
          <w:szCs w:val="24"/>
        </w:rPr>
        <w:t>《季度报告》模板中部分元素编号的调整</w:t>
      </w:r>
      <w:bookmarkEnd w:id="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4535"/>
        <w:gridCol w:w="963"/>
        <w:gridCol w:w="1985"/>
        <w:gridCol w:w="850"/>
      </w:tblGrid>
      <w:tr w:rsidR="00000000" w14:paraId="0B532CB8" w14:textId="77777777">
        <w:tc>
          <w:tcPr>
            <w:tcW w:w="992" w:type="dxa"/>
            <w:vAlign w:val="center"/>
          </w:tcPr>
          <w:p w14:paraId="17AB0BB2" w14:textId="77777777" w:rsidR="00000000" w:rsidRDefault="00243083">
            <w:pPr>
              <w:rPr>
                <w:rFonts w:eastAsia="楷体_GB2312"/>
                <w:b/>
                <w:szCs w:val="21"/>
              </w:rPr>
            </w:pPr>
            <w:r>
              <w:rPr>
                <w:rFonts w:eastAsia="楷体_GB2312"/>
                <w:b/>
                <w:szCs w:val="21"/>
              </w:rPr>
              <w:t>调整</w:t>
            </w:r>
          </w:p>
          <w:p w14:paraId="17EC7ADE" w14:textId="77777777" w:rsidR="00000000" w:rsidRDefault="00243083">
            <w:pPr>
              <w:jc w:val="center"/>
              <w:rPr>
                <w:rFonts w:eastAsia="楷体_GB2312"/>
                <w:b/>
                <w:szCs w:val="21"/>
              </w:rPr>
            </w:pPr>
            <w:r>
              <w:rPr>
                <w:rFonts w:eastAsia="楷体_GB2312"/>
                <w:b/>
                <w:szCs w:val="21"/>
              </w:rPr>
              <w:t>日期</w:t>
            </w:r>
          </w:p>
        </w:tc>
        <w:tc>
          <w:tcPr>
            <w:tcW w:w="4535" w:type="dxa"/>
            <w:vAlign w:val="center"/>
          </w:tcPr>
          <w:p w14:paraId="663249E6" w14:textId="77777777" w:rsidR="00000000" w:rsidRDefault="00243083">
            <w:pPr>
              <w:rPr>
                <w:rFonts w:eastAsia="楷体_GB2312"/>
                <w:b/>
                <w:szCs w:val="21"/>
              </w:rPr>
            </w:pPr>
            <w:r>
              <w:rPr>
                <w:rFonts w:eastAsia="楷体_GB2312"/>
                <w:b/>
                <w:szCs w:val="21"/>
              </w:rPr>
              <w:t>调整项目</w:t>
            </w:r>
          </w:p>
        </w:tc>
        <w:tc>
          <w:tcPr>
            <w:tcW w:w="963" w:type="dxa"/>
            <w:vAlign w:val="center"/>
          </w:tcPr>
          <w:p w14:paraId="3249DFB0" w14:textId="77777777" w:rsidR="00000000" w:rsidRDefault="00243083">
            <w:pPr>
              <w:rPr>
                <w:rFonts w:eastAsia="楷体_GB2312"/>
                <w:b/>
                <w:szCs w:val="21"/>
              </w:rPr>
            </w:pPr>
            <w:r>
              <w:rPr>
                <w:rFonts w:eastAsia="楷体_GB2312"/>
                <w:b/>
                <w:szCs w:val="21"/>
              </w:rPr>
              <w:t>调整前</w:t>
            </w:r>
          </w:p>
        </w:tc>
        <w:tc>
          <w:tcPr>
            <w:tcW w:w="1985" w:type="dxa"/>
            <w:vAlign w:val="center"/>
          </w:tcPr>
          <w:p w14:paraId="57172253" w14:textId="77777777" w:rsidR="00000000" w:rsidRDefault="00243083">
            <w:pPr>
              <w:rPr>
                <w:rFonts w:eastAsia="楷体_GB2312"/>
                <w:b/>
                <w:szCs w:val="21"/>
              </w:rPr>
            </w:pPr>
            <w:r>
              <w:rPr>
                <w:rFonts w:eastAsia="楷体_GB2312"/>
                <w:b/>
                <w:szCs w:val="21"/>
              </w:rPr>
              <w:t>调整后</w:t>
            </w:r>
          </w:p>
        </w:tc>
        <w:tc>
          <w:tcPr>
            <w:tcW w:w="850" w:type="dxa"/>
            <w:vAlign w:val="center"/>
          </w:tcPr>
          <w:p w14:paraId="2D8CBD9E" w14:textId="77777777" w:rsidR="00000000" w:rsidRDefault="00243083">
            <w:pPr>
              <w:rPr>
                <w:rFonts w:eastAsia="楷体_GB2312"/>
                <w:b/>
                <w:szCs w:val="21"/>
              </w:rPr>
            </w:pPr>
            <w:r>
              <w:rPr>
                <w:rFonts w:eastAsia="楷体_GB2312"/>
                <w:b/>
                <w:szCs w:val="21"/>
              </w:rPr>
              <w:t>备注</w:t>
            </w:r>
          </w:p>
        </w:tc>
      </w:tr>
      <w:tr w:rsidR="00000000" w14:paraId="0FC11B44" w14:textId="77777777">
        <w:tc>
          <w:tcPr>
            <w:tcW w:w="8475" w:type="dxa"/>
            <w:gridSpan w:val="4"/>
          </w:tcPr>
          <w:p w14:paraId="10E74BEA" w14:textId="77777777" w:rsidR="00000000" w:rsidRDefault="00243083">
            <w:pPr>
              <w:rPr>
                <w:rFonts w:eastAsia="楷体_GB2312"/>
                <w:b/>
                <w:szCs w:val="21"/>
              </w:rPr>
            </w:pPr>
            <w:r>
              <w:rPr>
                <w:rFonts w:eastAsia="楷体_GB2312"/>
                <w:b/>
                <w:szCs w:val="21"/>
              </w:rPr>
              <w:t>第一部分</w:t>
            </w:r>
            <w:r>
              <w:rPr>
                <w:rFonts w:eastAsia="楷体_GB2312"/>
                <w:b/>
                <w:szCs w:val="21"/>
              </w:rPr>
              <w:t xml:space="preserve"> </w:t>
            </w:r>
            <w:r>
              <w:rPr>
                <w:rFonts w:eastAsia="楷体_GB2312"/>
                <w:b/>
                <w:szCs w:val="21"/>
              </w:rPr>
              <w:t>非货币市场基金季度报告模板：</w:t>
            </w:r>
          </w:p>
        </w:tc>
        <w:tc>
          <w:tcPr>
            <w:tcW w:w="850" w:type="dxa"/>
          </w:tcPr>
          <w:p w14:paraId="145804E9" w14:textId="77777777" w:rsidR="00000000" w:rsidRDefault="00243083">
            <w:pPr>
              <w:rPr>
                <w:rFonts w:eastAsia="楷体_GB2312"/>
                <w:szCs w:val="21"/>
              </w:rPr>
            </w:pPr>
          </w:p>
        </w:tc>
      </w:tr>
      <w:tr w:rsidR="00000000" w14:paraId="4BFB2A15" w14:textId="77777777">
        <w:tc>
          <w:tcPr>
            <w:tcW w:w="992" w:type="dxa"/>
          </w:tcPr>
          <w:p w14:paraId="7E3FB127" w14:textId="77777777" w:rsidR="00000000" w:rsidRDefault="00243083">
            <w:pPr>
              <w:rPr>
                <w:rFonts w:eastAsia="楷体_GB2312"/>
                <w:szCs w:val="21"/>
              </w:rPr>
            </w:pPr>
          </w:p>
        </w:tc>
        <w:tc>
          <w:tcPr>
            <w:tcW w:w="4535" w:type="dxa"/>
          </w:tcPr>
          <w:p w14:paraId="6C7C20DF" w14:textId="77777777" w:rsidR="00000000" w:rsidRDefault="00243083">
            <w:pPr>
              <w:rPr>
                <w:rFonts w:eastAsia="楷体_GB2312"/>
                <w:szCs w:val="21"/>
              </w:rPr>
            </w:pPr>
            <w:r>
              <w:rPr>
                <w:rFonts w:eastAsia="楷体_GB2312"/>
                <w:szCs w:val="21"/>
              </w:rPr>
              <w:t>重要提示中本报告期自</w:t>
            </w:r>
            <w:r>
              <w:rPr>
                <w:rFonts w:eastAsia="楷体_GB2312"/>
                <w:szCs w:val="21"/>
              </w:rPr>
              <w:t>_</w:t>
            </w:r>
            <w:r>
              <w:rPr>
                <w:rFonts w:eastAsia="楷体_GB2312"/>
                <w:szCs w:val="21"/>
              </w:rPr>
              <w:t>年</w:t>
            </w:r>
            <w:r>
              <w:rPr>
                <w:rFonts w:eastAsia="楷体_GB2312"/>
                <w:szCs w:val="21"/>
              </w:rPr>
              <w:t>_</w:t>
            </w:r>
            <w:r>
              <w:rPr>
                <w:rFonts w:eastAsia="楷体_GB2312"/>
                <w:szCs w:val="21"/>
              </w:rPr>
              <w:t>月</w:t>
            </w:r>
            <w:r>
              <w:rPr>
                <w:rFonts w:eastAsia="楷体_GB2312"/>
                <w:szCs w:val="21"/>
              </w:rPr>
              <w:t>_</w:t>
            </w:r>
            <w:r>
              <w:rPr>
                <w:rFonts w:eastAsia="楷体_GB2312"/>
                <w:szCs w:val="21"/>
              </w:rPr>
              <w:t>日起至</w:t>
            </w:r>
            <w:r>
              <w:rPr>
                <w:rFonts w:eastAsia="楷体_GB2312"/>
                <w:szCs w:val="21"/>
              </w:rPr>
              <w:t>_</w:t>
            </w:r>
            <w:r>
              <w:rPr>
                <w:rFonts w:eastAsia="楷体_GB2312"/>
                <w:szCs w:val="21"/>
              </w:rPr>
              <w:t>月</w:t>
            </w:r>
            <w:r>
              <w:rPr>
                <w:rFonts w:eastAsia="楷体_GB2312"/>
                <w:szCs w:val="21"/>
              </w:rPr>
              <w:t>_</w:t>
            </w:r>
            <w:r>
              <w:rPr>
                <w:rFonts w:eastAsia="楷体_GB2312"/>
                <w:szCs w:val="21"/>
              </w:rPr>
              <w:t>日止</w:t>
            </w:r>
          </w:p>
        </w:tc>
        <w:tc>
          <w:tcPr>
            <w:tcW w:w="963" w:type="dxa"/>
          </w:tcPr>
          <w:p w14:paraId="71060704" w14:textId="77777777" w:rsidR="00000000" w:rsidRDefault="00243083">
            <w:pPr>
              <w:rPr>
                <w:rFonts w:eastAsia="楷体_GB2312"/>
                <w:szCs w:val="21"/>
              </w:rPr>
            </w:pPr>
          </w:p>
        </w:tc>
        <w:tc>
          <w:tcPr>
            <w:tcW w:w="1985" w:type="dxa"/>
          </w:tcPr>
          <w:p w14:paraId="0F4815F9" w14:textId="77777777" w:rsidR="00000000" w:rsidRDefault="00243083">
            <w:pPr>
              <w:rPr>
                <w:rFonts w:eastAsia="楷体_GB2312"/>
                <w:szCs w:val="21"/>
              </w:rPr>
            </w:pPr>
            <w:r>
              <w:rPr>
                <w:rFonts w:eastAsia="楷体_GB2312"/>
                <w:szCs w:val="21"/>
              </w:rPr>
              <w:t>2023</w:t>
            </w:r>
            <w:r>
              <w:rPr>
                <w:rFonts w:eastAsia="楷体_GB2312"/>
                <w:szCs w:val="21"/>
              </w:rPr>
              <w:t>、</w:t>
            </w:r>
            <w:r>
              <w:rPr>
                <w:rFonts w:eastAsia="楷体_GB2312"/>
                <w:szCs w:val="21"/>
              </w:rPr>
              <w:t>2024</w:t>
            </w:r>
          </w:p>
        </w:tc>
        <w:tc>
          <w:tcPr>
            <w:tcW w:w="850" w:type="dxa"/>
          </w:tcPr>
          <w:p w14:paraId="5B7FAC20" w14:textId="77777777" w:rsidR="00000000" w:rsidRDefault="00243083">
            <w:pPr>
              <w:rPr>
                <w:rFonts w:eastAsia="楷体_GB2312"/>
                <w:szCs w:val="21"/>
              </w:rPr>
            </w:pPr>
          </w:p>
        </w:tc>
      </w:tr>
      <w:tr w:rsidR="00000000" w14:paraId="23AF4EA2" w14:textId="77777777">
        <w:tc>
          <w:tcPr>
            <w:tcW w:w="992" w:type="dxa"/>
          </w:tcPr>
          <w:p w14:paraId="7D8A3507" w14:textId="77777777" w:rsidR="00000000" w:rsidRDefault="00243083">
            <w:pPr>
              <w:rPr>
                <w:rFonts w:eastAsia="楷体_GB2312"/>
                <w:szCs w:val="21"/>
              </w:rPr>
            </w:pPr>
          </w:p>
        </w:tc>
        <w:tc>
          <w:tcPr>
            <w:tcW w:w="4535" w:type="dxa"/>
          </w:tcPr>
          <w:p w14:paraId="3A213FBC" w14:textId="77777777" w:rsidR="00000000" w:rsidRDefault="00243083">
            <w:pPr>
              <w:rPr>
                <w:rFonts w:eastAsia="楷体_GB2312"/>
                <w:szCs w:val="21"/>
              </w:rPr>
            </w:pPr>
            <w:r>
              <w:rPr>
                <w:rFonts w:eastAsia="楷体_GB2312"/>
                <w:szCs w:val="21"/>
              </w:rPr>
              <w:t>报告期末基金份额总额</w:t>
            </w:r>
          </w:p>
        </w:tc>
        <w:tc>
          <w:tcPr>
            <w:tcW w:w="963" w:type="dxa"/>
          </w:tcPr>
          <w:p w14:paraId="2896E23F" w14:textId="77777777" w:rsidR="00000000" w:rsidRDefault="00243083">
            <w:pPr>
              <w:rPr>
                <w:rFonts w:eastAsia="楷体_GB2312"/>
                <w:szCs w:val="21"/>
              </w:rPr>
            </w:pPr>
            <w:r>
              <w:rPr>
                <w:rFonts w:eastAsia="楷体_GB2312"/>
                <w:szCs w:val="21"/>
              </w:rPr>
              <w:t>0019</w:t>
            </w:r>
          </w:p>
        </w:tc>
        <w:tc>
          <w:tcPr>
            <w:tcW w:w="1985" w:type="dxa"/>
          </w:tcPr>
          <w:p w14:paraId="3F724149" w14:textId="77777777" w:rsidR="00000000" w:rsidRDefault="00243083">
            <w:pPr>
              <w:rPr>
                <w:rFonts w:eastAsia="楷体_GB2312"/>
                <w:szCs w:val="21"/>
              </w:rPr>
            </w:pPr>
            <w:r>
              <w:rPr>
                <w:rFonts w:eastAsia="楷体_GB2312"/>
                <w:szCs w:val="21"/>
              </w:rPr>
              <w:t>1702</w:t>
            </w:r>
          </w:p>
        </w:tc>
        <w:tc>
          <w:tcPr>
            <w:tcW w:w="850" w:type="dxa"/>
          </w:tcPr>
          <w:p w14:paraId="1D3F626A" w14:textId="77777777" w:rsidR="00000000" w:rsidRDefault="00243083">
            <w:pPr>
              <w:rPr>
                <w:rFonts w:eastAsia="楷体_GB2312"/>
                <w:szCs w:val="21"/>
              </w:rPr>
            </w:pPr>
          </w:p>
        </w:tc>
      </w:tr>
      <w:tr w:rsidR="00000000" w14:paraId="60FE771A" w14:textId="77777777">
        <w:tc>
          <w:tcPr>
            <w:tcW w:w="992" w:type="dxa"/>
          </w:tcPr>
          <w:p w14:paraId="17685354" w14:textId="77777777" w:rsidR="00000000" w:rsidRDefault="00243083">
            <w:pPr>
              <w:rPr>
                <w:rFonts w:eastAsia="楷体_GB2312"/>
                <w:szCs w:val="21"/>
              </w:rPr>
            </w:pPr>
          </w:p>
        </w:tc>
        <w:tc>
          <w:tcPr>
            <w:tcW w:w="4535" w:type="dxa"/>
          </w:tcPr>
          <w:p w14:paraId="18517304" w14:textId="77777777" w:rsidR="00000000" w:rsidRDefault="00243083">
            <w:pPr>
              <w:rPr>
                <w:rFonts w:eastAsia="楷体_GB2312"/>
                <w:szCs w:val="21"/>
              </w:rPr>
            </w:pPr>
            <w:r>
              <w:rPr>
                <w:rFonts w:eastAsia="楷体_GB2312"/>
                <w:szCs w:val="21"/>
              </w:rPr>
              <w:t>交易代码</w:t>
            </w:r>
          </w:p>
        </w:tc>
        <w:tc>
          <w:tcPr>
            <w:tcW w:w="963" w:type="dxa"/>
          </w:tcPr>
          <w:p w14:paraId="07B62E75" w14:textId="77777777" w:rsidR="00000000" w:rsidRDefault="00243083">
            <w:pPr>
              <w:rPr>
                <w:rFonts w:eastAsia="楷体_GB2312"/>
                <w:szCs w:val="21"/>
              </w:rPr>
            </w:pPr>
            <w:r>
              <w:rPr>
                <w:rFonts w:eastAsia="楷体_GB2312"/>
                <w:szCs w:val="21"/>
              </w:rPr>
              <w:t>0012</w:t>
            </w:r>
          </w:p>
        </w:tc>
        <w:tc>
          <w:tcPr>
            <w:tcW w:w="1985" w:type="dxa"/>
          </w:tcPr>
          <w:p w14:paraId="7320F559" w14:textId="77777777" w:rsidR="00000000" w:rsidRDefault="00243083">
            <w:pPr>
              <w:rPr>
                <w:rFonts w:eastAsia="楷体_GB2312"/>
                <w:szCs w:val="21"/>
              </w:rPr>
            </w:pPr>
            <w:r>
              <w:rPr>
                <w:rFonts w:eastAsia="楷体_GB2312"/>
                <w:szCs w:val="21"/>
              </w:rPr>
              <w:t>0012</w:t>
            </w:r>
            <w:r>
              <w:rPr>
                <w:rFonts w:eastAsia="楷体_GB2312"/>
                <w:szCs w:val="21"/>
              </w:rPr>
              <w:t>、</w:t>
            </w:r>
            <w:r>
              <w:rPr>
                <w:rFonts w:eastAsia="楷体_GB2312"/>
                <w:szCs w:val="21"/>
              </w:rPr>
              <w:t>0014</w:t>
            </w:r>
            <w:r>
              <w:rPr>
                <w:rFonts w:eastAsia="楷体_GB2312"/>
                <w:szCs w:val="21"/>
              </w:rPr>
              <w:t>、</w:t>
            </w:r>
            <w:r>
              <w:rPr>
                <w:rFonts w:eastAsia="楷体_GB2312"/>
                <w:szCs w:val="21"/>
              </w:rPr>
              <w:t>0015</w:t>
            </w:r>
          </w:p>
        </w:tc>
        <w:tc>
          <w:tcPr>
            <w:tcW w:w="850" w:type="dxa"/>
          </w:tcPr>
          <w:p w14:paraId="52715609" w14:textId="77777777" w:rsidR="00000000" w:rsidRDefault="00243083">
            <w:pPr>
              <w:rPr>
                <w:rFonts w:eastAsia="楷体_GB2312"/>
                <w:szCs w:val="21"/>
              </w:rPr>
            </w:pPr>
          </w:p>
        </w:tc>
      </w:tr>
      <w:tr w:rsidR="00000000" w14:paraId="6A9AE056" w14:textId="77777777">
        <w:tc>
          <w:tcPr>
            <w:tcW w:w="992" w:type="dxa"/>
          </w:tcPr>
          <w:p w14:paraId="1D2C0680" w14:textId="77777777" w:rsidR="00000000" w:rsidRDefault="00243083">
            <w:pPr>
              <w:rPr>
                <w:rFonts w:eastAsia="楷体_GB2312"/>
                <w:szCs w:val="21"/>
              </w:rPr>
            </w:pPr>
          </w:p>
        </w:tc>
        <w:tc>
          <w:tcPr>
            <w:tcW w:w="4535" w:type="dxa"/>
          </w:tcPr>
          <w:p w14:paraId="3D021F1D" w14:textId="77777777" w:rsidR="00000000" w:rsidRDefault="00243083">
            <w:pPr>
              <w:rPr>
                <w:rFonts w:eastAsia="楷体_GB2312"/>
                <w:szCs w:val="21"/>
              </w:rPr>
            </w:pPr>
            <w:r>
              <w:rPr>
                <w:rFonts w:eastAsia="楷体_GB2312"/>
                <w:szCs w:val="21"/>
              </w:rPr>
              <w:t>下属两级基金的交易代码</w:t>
            </w:r>
          </w:p>
        </w:tc>
        <w:tc>
          <w:tcPr>
            <w:tcW w:w="963" w:type="dxa"/>
          </w:tcPr>
          <w:p w14:paraId="1570615F" w14:textId="77777777" w:rsidR="00000000" w:rsidRDefault="00243083">
            <w:pPr>
              <w:rPr>
                <w:rFonts w:eastAsia="楷体_GB2312"/>
                <w:szCs w:val="21"/>
              </w:rPr>
            </w:pPr>
            <w:r>
              <w:rPr>
                <w:rFonts w:eastAsia="楷体_GB2312"/>
                <w:szCs w:val="21"/>
              </w:rPr>
              <w:t>0012</w:t>
            </w:r>
          </w:p>
        </w:tc>
        <w:tc>
          <w:tcPr>
            <w:tcW w:w="1985" w:type="dxa"/>
          </w:tcPr>
          <w:p w14:paraId="13543814" w14:textId="77777777" w:rsidR="00000000" w:rsidRDefault="00243083">
            <w:pPr>
              <w:rPr>
                <w:rFonts w:eastAsia="楷体_GB2312"/>
                <w:szCs w:val="21"/>
              </w:rPr>
            </w:pPr>
            <w:r>
              <w:rPr>
                <w:rFonts w:eastAsia="楷体_GB2312"/>
                <w:szCs w:val="21"/>
              </w:rPr>
              <w:t>0012</w:t>
            </w:r>
            <w:r>
              <w:rPr>
                <w:rFonts w:eastAsia="楷体_GB2312"/>
                <w:szCs w:val="21"/>
              </w:rPr>
              <w:t>、</w:t>
            </w:r>
            <w:r>
              <w:rPr>
                <w:rFonts w:eastAsia="楷体_GB2312"/>
                <w:szCs w:val="21"/>
              </w:rPr>
              <w:t>0014</w:t>
            </w:r>
            <w:r>
              <w:rPr>
                <w:rFonts w:eastAsia="楷体_GB2312"/>
                <w:szCs w:val="21"/>
              </w:rPr>
              <w:t>、</w:t>
            </w:r>
            <w:r>
              <w:rPr>
                <w:rFonts w:eastAsia="楷体_GB2312"/>
                <w:szCs w:val="21"/>
              </w:rPr>
              <w:t>0015</w:t>
            </w:r>
          </w:p>
        </w:tc>
        <w:tc>
          <w:tcPr>
            <w:tcW w:w="850" w:type="dxa"/>
          </w:tcPr>
          <w:p w14:paraId="20F82472" w14:textId="77777777" w:rsidR="00000000" w:rsidRDefault="00243083">
            <w:pPr>
              <w:rPr>
                <w:rFonts w:eastAsia="楷体_GB2312"/>
                <w:szCs w:val="21"/>
              </w:rPr>
            </w:pPr>
          </w:p>
        </w:tc>
      </w:tr>
      <w:tr w:rsidR="00000000" w14:paraId="55273566" w14:textId="77777777">
        <w:tc>
          <w:tcPr>
            <w:tcW w:w="992" w:type="dxa"/>
          </w:tcPr>
          <w:p w14:paraId="529D228D" w14:textId="77777777" w:rsidR="00000000" w:rsidRDefault="00243083">
            <w:pPr>
              <w:rPr>
                <w:rFonts w:eastAsia="楷体_GB2312"/>
                <w:szCs w:val="21"/>
              </w:rPr>
            </w:pPr>
          </w:p>
        </w:tc>
        <w:tc>
          <w:tcPr>
            <w:tcW w:w="4535" w:type="dxa"/>
          </w:tcPr>
          <w:p w14:paraId="714356DB" w14:textId="77777777" w:rsidR="00000000" w:rsidRDefault="00243083">
            <w:pPr>
              <w:rPr>
                <w:rFonts w:eastAsia="楷体_GB2312"/>
                <w:szCs w:val="21"/>
              </w:rPr>
            </w:pPr>
            <w:r>
              <w:rPr>
                <w:rFonts w:eastAsia="楷体_GB2312"/>
                <w:szCs w:val="21"/>
              </w:rPr>
              <w:t>3.1</w:t>
            </w:r>
            <w:r>
              <w:rPr>
                <w:rFonts w:eastAsia="楷体_GB2312"/>
                <w:szCs w:val="21"/>
              </w:rPr>
              <w:t>主要财务指标中报告期</w:t>
            </w:r>
          </w:p>
        </w:tc>
        <w:tc>
          <w:tcPr>
            <w:tcW w:w="963" w:type="dxa"/>
          </w:tcPr>
          <w:p w14:paraId="3F681562" w14:textId="77777777" w:rsidR="00000000" w:rsidRDefault="00243083">
            <w:pPr>
              <w:rPr>
                <w:rFonts w:eastAsia="楷体_GB2312"/>
                <w:szCs w:val="21"/>
              </w:rPr>
            </w:pPr>
            <w:r>
              <w:rPr>
                <w:rFonts w:eastAsia="楷体_GB2312"/>
                <w:szCs w:val="21"/>
              </w:rPr>
              <w:t>0496</w:t>
            </w:r>
          </w:p>
        </w:tc>
        <w:tc>
          <w:tcPr>
            <w:tcW w:w="1985" w:type="dxa"/>
          </w:tcPr>
          <w:p w14:paraId="170913F7" w14:textId="77777777" w:rsidR="00000000" w:rsidRDefault="00243083">
            <w:pPr>
              <w:rPr>
                <w:rFonts w:eastAsia="楷体_GB2312"/>
                <w:szCs w:val="21"/>
              </w:rPr>
            </w:pPr>
            <w:r>
              <w:rPr>
                <w:rFonts w:eastAsia="楷体_GB2312"/>
                <w:szCs w:val="21"/>
              </w:rPr>
              <w:t>2023</w:t>
            </w:r>
            <w:r>
              <w:rPr>
                <w:rFonts w:eastAsia="楷体_GB2312"/>
                <w:szCs w:val="21"/>
              </w:rPr>
              <w:t>、</w:t>
            </w:r>
            <w:r>
              <w:rPr>
                <w:rFonts w:eastAsia="楷体_GB2312"/>
                <w:szCs w:val="21"/>
              </w:rPr>
              <w:t>2024</w:t>
            </w:r>
          </w:p>
        </w:tc>
        <w:tc>
          <w:tcPr>
            <w:tcW w:w="850" w:type="dxa"/>
          </w:tcPr>
          <w:p w14:paraId="524FA985" w14:textId="77777777" w:rsidR="00000000" w:rsidRDefault="00243083">
            <w:pPr>
              <w:rPr>
                <w:rFonts w:eastAsia="楷体_GB2312"/>
                <w:szCs w:val="21"/>
              </w:rPr>
            </w:pPr>
          </w:p>
        </w:tc>
      </w:tr>
      <w:tr w:rsidR="00000000" w14:paraId="669655EC" w14:textId="77777777">
        <w:tc>
          <w:tcPr>
            <w:tcW w:w="992" w:type="dxa"/>
          </w:tcPr>
          <w:p w14:paraId="5C385AFA" w14:textId="77777777" w:rsidR="00000000" w:rsidRDefault="00243083">
            <w:pPr>
              <w:rPr>
                <w:rFonts w:eastAsia="楷体_GB2312"/>
                <w:szCs w:val="21"/>
              </w:rPr>
            </w:pPr>
          </w:p>
        </w:tc>
        <w:tc>
          <w:tcPr>
            <w:tcW w:w="4535" w:type="dxa"/>
          </w:tcPr>
          <w:p w14:paraId="79070940" w14:textId="77777777" w:rsidR="00000000" w:rsidRDefault="00243083">
            <w:pPr>
              <w:rPr>
                <w:rFonts w:eastAsia="楷体_GB2312"/>
                <w:szCs w:val="21"/>
              </w:rPr>
            </w:pPr>
            <w:r>
              <w:rPr>
                <w:rFonts w:eastAsia="楷体_GB2312"/>
                <w:szCs w:val="21"/>
              </w:rPr>
              <w:t>3.3</w:t>
            </w:r>
            <w:r>
              <w:rPr>
                <w:rFonts w:eastAsia="楷体_GB2312"/>
                <w:szCs w:val="21"/>
              </w:rPr>
              <w:t>其他指标中报告期</w:t>
            </w:r>
          </w:p>
        </w:tc>
        <w:tc>
          <w:tcPr>
            <w:tcW w:w="963" w:type="dxa"/>
          </w:tcPr>
          <w:p w14:paraId="1DFAD3B0" w14:textId="77777777" w:rsidR="00000000" w:rsidRDefault="00243083">
            <w:pPr>
              <w:rPr>
                <w:rFonts w:eastAsia="楷体_GB2312"/>
                <w:szCs w:val="21"/>
              </w:rPr>
            </w:pPr>
            <w:r>
              <w:rPr>
                <w:rFonts w:eastAsia="楷体_GB2312"/>
                <w:szCs w:val="21"/>
              </w:rPr>
              <w:t>0496</w:t>
            </w:r>
          </w:p>
        </w:tc>
        <w:tc>
          <w:tcPr>
            <w:tcW w:w="1985" w:type="dxa"/>
          </w:tcPr>
          <w:p w14:paraId="3A97CF18" w14:textId="77777777" w:rsidR="00000000" w:rsidRDefault="00243083">
            <w:pPr>
              <w:rPr>
                <w:rFonts w:eastAsia="楷体_GB2312"/>
                <w:szCs w:val="21"/>
              </w:rPr>
            </w:pPr>
            <w:r>
              <w:rPr>
                <w:rFonts w:eastAsia="楷体_GB2312"/>
                <w:szCs w:val="21"/>
              </w:rPr>
              <w:t>2023</w:t>
            </w:r>
            <w:r>
              <w:rPr>
                <w:rFonts w:eastAsia="楷体_GB2312"/>
                <w:szCs w:val="21"/>
              </w:rPr>
              <w:t>、</w:t>
            </w:r>
            <w:r>
              <w:rPr>
                <w:rFonts w:eastAsia="楷体_GB2312"/>
                <w:szCs w:val="21"/>
              </w:rPr>
              <w:t>2024</w:t>
            </w:r>
          </w:p>
        </w:tc>
        <w:tc>
          <w:tcPr>
            <w:tcW w:w="850" w:type="dxa"/>
          </w:tcPr>
          <w:p w14:paraId="6CF0A27C" w14:textId="77777777" w:rsidR="00000000" w:rsidRDefault="00243083">
            <w:pPr>
              <w:rPr>
                <w:rFonts w:eastAsia="楷体_GB2312"/>
                <w:szCs w:val="21"/>
              </w:rPr>
            </w:pPr>
          </w:p>
        </w:tc>
      </w:tr>
      <w:tr w:rsidR="00000000" w14:paraId="7E287431" w14:textId="77777777">
        <w:tc>
          <w:tcPr>
            <w:tcW w:w="992" w:type="dxa"/>
          </w:tcPr>
          <w:p w14:paraId="306B27B6" w14:textId="77777777" w:rsidR="00000000" w:rsidRDefault="00243083">
            <w:pPr>
              <w:rPr>
                <w:rFonts w:eastAsia="楷体_GB2312"/>
                <w:szCs w:val="21"/>
              </w:rPr>
            </w:pPr>
          </w:p>
        </w:tc>
        <w:tc>
          <w:tcPr>
            <w:tcW w:w="4535" w:type="dxa"/>
          </w:tcPr>
          <w:p w14:paraId="19DF36F4" w14:textId="77777777" w:rsidR="00000000" w:rsidRDefault="00243083">
            <w:pPr>
              <w:rPr>
                <w:rFonts w:eastAsia="楷体_GB2312"/>
                <w:szCs w:val="21"/>
              </w:rPr>
            </w:pPr>
            <w:r>
              <w:rPr>
                <w:rFonts w:eastAsia="楷体_GB2312"/>
                <w:szCs w:val="21"/>
              </w:rPr>
              <w:t xml:space="preserve">“5.4 </w:t>
            </w:r>
            <w:r>
              <w:rPr>
                <w:rFonts w:eastAsia="楷体_GB2312"/>
                <w:szCs w:val="21"/>
              </w:rPr>
              <w:t>报告期末按债券品种分类的债券投资组合</w:t>
            </w:r>
            <w:r>
              <w:rPr>
                <w:rFonts w:eastAsia="楷体_GB2312"/>
                <w:szCs w:val="21"/>
              </w:rPr>
              <w:t>”</w:t>
            </w:r>
            <w:r>
              <w:rPr>
                <w:rFonts w:eastAsia="楷体_GB2312"/>
                <w:szCs w:val="21"/>
              </w:rPr>
              <w:t>中</w:t>
            </w:r>
            <w:r>
              <w:rPr>
                <w:rFonts w:eastAsia="楷体_GB2312"/>
                <w:szCs w:val="21"/>
              </w:rPr>
              <w:t>“</w:t>
            </w:r>
            <w:r>
              <w:rPr>
                <w:rFonts w:eastAsia="楷体_GB2312"/>
                <w:szCs w:val="21"/>
              </w:rPr>
              <w:t>公允价值</w:t>
            </w:r>
            <w:r>
              <w:rPr>
                <w:rFonts w:eastAsia="楷体_GB2312"/>
                <w:szCs w:val="21"/>
              </w:rPr>
              <w:t>”</w:t>
            </w:r>
          </w:p>
        </w:tc>
        <w:tc>
          <w:tcPr>
            <w:tcW w:w="963" w:type="dxa"/>
          </w:tcPr>
          <w:p w14:paraId="234BED35" w14:textId="77777777" w:rsidR="00000000" w:rsidRDefault="00243083">
            <w:pPr>
              <w:rPr>
                <w:rFonts w:eastAsia="楷体_GB2312"/>
                <w:szCs w:val="21"/>
              </w:rPr>
            </w:pPr>
            <w:r>
              <w:rPr>
                <w:rFonts w:eastAsia="楷体_GB2312"/>
                <w:szCs w:val="21"/>
              </w:rPr>
              <w:t>1438</w:t>
            </w:r>
          </w:p>
        </w:tc>
        <w:tc>
          <w:tcPr>
            <w:tcW w:w="1985" w:type="dxa"/>
          </w:tcPr>
          <w:p w14:paraId="32D7D76E" w14:textId="77777777" w:rsidR="00000000" w:rsidRDefault="00243083">
            <w:pPr>
              <w:rPr>
                <w:rFonts w:eastAsia="楷体_GB2312"/>
                <w:szCs w:val="21"/>
              </w:rPr>
            </w:pPr>
            <w:r>
              <w:rPr>
                <w:rFonts w:eastAsia="楷体_GB2312"/>
                <w:szCs w:val="21"/>
              </w:rPr>
              <w:t>1437</w:t>
            </w:r>
          </w:p>
        </w:tc>
        <w:tc>
          <w:tcPr>
            <w:tcW w:w="850" w:type="dxa"/>
          </w:tcPr>
          <w:p w14:paraId="1D707440" w14:textId="77777777" w:rsidR="00000000" w:rsidRDefault="00243083">
            <w:pPr>
              <w:rPr>
                <w:rFonts w:eastAsia="楷体_GB2312"/>
                <w:szCs w:val="21"/>
              </w:rPr>
            </w:pPr>
          </w:p>
        </w:tc>
      </w:tr>
      <w:tr w:rsidR="00000000" w14:paraId="4F8C73FB" w14:textId="77777777">
        <w:tc>
          <w:tcPr>
            <w:tcW w:w="8475" w:type="dxa"/>
            <w:gridSpan w:val="4"/>
          </w:tcPr>
          <w:p w14:paraId="70FE7DCC" w14:textId="77777777" w:rsidR="00000000" w:rsidRDefault="00243083">
            <w:pPr>
              <w:rPr>
                <w:rFonts w:eastAsia="楷体_GB2312"/>
                <w:b/>
                <w:szCs w:val="21"/>
              </w:rPr>
            </w:pPr>
            <w:r>
              <w:rPr>
                <w:rFonts w:eastAsia="楷体_GB2312"/>
                <w:b/>
                <w:szCs w:val="21"/>
              </w:rPr>
              <w:t>第二部分</w:t>
            </w:r>
            <w:r>
              <w:rPr>
                <w:rFonts w:eastAsia="楷体_GB2312"/>
                <w:b/>
                <w:szCs w:val="21"/>
              </w:rPr>
              <w:t xml:space="preserve"> </w:t>
            </w:r>
            <w:r>
              <w:rPr>
                <w:rFonts w:eastAsia="楷体_GB2312"/>
                <w:b/>
                <w:szCs w:val="21"/>
              </w:rPr>
              <w:t>货币市场基金</w:t>
            </w:r>
            <w:r>
              <w:rPr>
                <w:rFonts w:eastAsia="楷体_GB2312"/>
                <w:b/>
                <w:szCs w:val="21"/>
              </w:rPr>
              <w:t>/</w:t>
            </w:r>
            <w:r>
              <w:rPr>
                <w:rFonts w:eastAsia="楷体_GB2312"/>
                <w:b/>
                <w:szCs w:val="21"/>
              </w:rPr>
              <w:t>短期理财债券型基金季度报告模板：</w:t>
            </w:r>
          </w:p>
        </w:tc>
        <w:tc>
          <w:tcPr>
            <w:tcW w:w="850" w:type="dxa"/>
          </w:tcPr>
          <w:p w14:paraId="6E2D0101" w14:textId="77777777" w:rsidR="00000000" w:rsidRDefault="00243083">
            <w:pPr>
              <w:rPr>
                <w:rFonts w:eastAsia="楷体_GB2312"/>
                <w:b/>
                <w:szCs w:val="21"/>
              </w:rPr>
            </w:pPr>
          </w:p>
        </w:tc>
      </w:tr>
      <w:tr w:rsidR="00000000" w14:paraId="37973E14" w14:textId="77777777">
        <w:tc>
          <w:tcPr>
            <w:tcW w:w="992" w:type="dxa"/>
          </w:tcPr>
          <w:p w14:paraId="5A4A3E52" w14:textId="77777777" w:rsidR="00000000" w:rsidRDefault="00243083">
            <w:pPr>
              <w:rPr>
                <w:rFonts w:eastAsia="楷体_GB2312"/>
                <w:szCs w:val="21"/>
              </w:rPr>
            </w:pPr>
          </w:p>
        </w:tc>
        <w:tc>
          <w:tcPr>
            <w:tcW w:w="4535" w:type="dxa"/>
          </w:tcPr>
          <w:p w14:paraId="6D45BD55" w14:textId="77777777" w:rsidR="00000000" w:rsidRDefault="00243083">
            <w:pPr>
              <w:rPr>
                <w:rFonts w:eastAsia="楷体_GB2312"/>
                <w:szCs w:val="21"/>
              </w:rPr>
            </w:pPr>
            <w:r>
              <w:rPr>
                <w:rFonts w:eastAsia="楷体_GB2312"/>
                <w:szCs w:val="21"/>
              </w:rPr>
              <w:t>重要提示中本报告期自</w:t>
            </w:r>
            <w:r>
              <w:rPr>
                <w:rFonts w:eastAsia="楷体_GB2312"/>
                <w:szCs w:val="21"/>
              </w:rPr>
              <w:t>_</w:t>
            </w:r>
            <w:r>
              <w:rPr>
                <w:rFonts w:eastAsia="楷体_GB2312"/>
                <w:szCs w:val="21"/>
              </w:rPr>
              <w:t>年</w:t>
            </w:r>
            <w:r>
              <w:rPr>
                <w:rFonts w:eastAsia="楷体_GB2312"/>
                <w:szCs w:val="21"/>
              </w:rPr>
              <w:t>_</w:t>
            </w:r>
            <w:r>
              <w:rPr>
                <w:rFonts w:eastAsia="楷体_GB2312"/>
                <w:szCs w:val="21"/>
              </w:rPr>
              <w:t>月</w:t>
            </w:r>
            <w:r>
              <w:rPr>
                <w:rFonts w:eastAsia="楷体_GB2312"/>
                <w:szCs w:val="21"/>
              </w:rPr>
              <w:t>_</w:t>
            </w:r>
            <w:r>
              <w:rPr>
                <w:rFonts w:eastAsia="楷体_GB2312"/>
                <w:szCs w:val="21"/>
              </w:rPr>
              <w:t>日起至</w:t>
            </w:r>
            <w:r>
              <w:rPr>
                <w:rFonts w:eastAsia="楷体_GB2312"/>
                <w:szCs w:val="21"/>
              </w:rPr>
              <w:t>_</w:t>
            </w:r>
            <w:r>
              <w:rPr>
                <w:rFonts w:eastAsia="楷体_GB2312"/>
                <w:szCs w:val="21"/>
              </w:rPr>
              <w:t>月</w:t>
            </w:r>
            <w:r>
              <w:rPr>
                <w:rFonts w:eastAsia="楷体_GB2312"/>
                <w:szCs w:val="21"/>
              </w:rPr>
              <w:t>_</w:t>
            </w:r>
            <w:r>
              <w:rPr>
                <w:rFonts w:eastAsia="楷体_GB2312"/>
                <w:szCs w:val="21"/>
              </w:rPr>
              <w:t>日</w:t>
            </w:r>
            <w:r>
              <w:rPr>
                <w:rFonts w:eastAsia="楷体_GB2312"/>
                <w:szCs w:val="21"/>
              </w:rPr>
              <w:t>止</w:t>
            </w:r>
          </w:p>
        </w:tc>
        <w:tc>
          <w:tcPr>
            <w:tcW w:w="963" w:type="dxa"/>
          </w:tcPr>
          <w:p w14:paraId="277D5526" w14:textId="77777777" w:rsidR="00000000" w:rsidRDefault="00243083">
            <w:pPr>
              <w:rPr>
                <w:rFonts w:eastAsia="楷体_GB2312"/>
                <w:szCs w:val="21"/>
              </w:rPr>
            </w:pPr>
          </w:p>
        </w:tc>
        <w:tc>
          <w:tcPr>
            <w:tcW w:w="1985" w:type="dxa"/>
          </w:tcPr>
          <w:p w14:paraId="0E38629B" w14:textId="77777777" w:rsidR="00000000" w:rsidRDefault="00243083">
            <w:pPr>
              <w:rPr>
                <w:rFonts w:eastAsia="楷体_GB2312"/>
                <w:szCs w:val="21"/>
              </w:rPr>
            </w:pPr>
            <w:r>
              <w:rPr>
                <w:rFonts w:eastAsia="楷体_GB2312"/>
                <w:szCs w:val="21"/>
              </w:rPr>
              <w:t>2023</w:t>
            </w:r>
            <w:r>
              <w:rPr>
                <w:rFonts w:eastAsia="楷体_GB2312"/>
                <w:szCs w:val="21"/>
              </w:rPr>
              <w:t>、</w:t>
            </w:r>
            <w:r>
              <w:rPr>
                <w:rFonts w:eastAsia="楷体_GB2312"/>
                <w:szCs w:val="21"/>
              </w:rPr>
              <w:t>2024</w:t>
            </w:r>
          </w:p>
        </w:tc>
        <w:tc>
          <w:tcPr>
            <w:tcW w:w="850" w:type="dxa"/>
          </w:tcPr>
          <w:p w14:paraId="242B98F2" w14:textId="77777777" w:rsidR="00000000" w:rsidRDefault="00243083">
            <w:pPr>
              <w:rPr>
                <w:rFonts w:eastAsia="楷体_GB2312"/>
                <w:szCs w:val="21"/>
              </w:rPr>
            </w:pPr>
          </w:p>
        </w:tc>
      </w:tr>
      <w:tr w:rsidR="00000000" w14:paraId="7AEF0748" w14:textId="77777777">
        <w:tc>
          <w:tcPr>
            <w:tcW w:w="992" w:type="dxa"/>
          </w:tcPr>
          <w:p w14:paraId="403547A7" w14:textId="77777777" w:rsidR="00000000" w:rsidRDefault="00243083">
            <w:pPr>
              <w:rPr>
                <w:rFonts w:eastAsia="楷体_GB2312"/>
                <w:szCs w:val="21"/>
              </w:rPr>
            </w:pPr>
          </w:p>
        </w:tc>
        <w:tc>
          <w:tcPr>
            <w:tcW w:w="4535" w:type="dxa"/>
          </w:tcPr>
          <w:p w14:paraId="570AA8F5" w14:textId="77777777" w:rsidR="00000000" w:rsidRDefault="00243083">
            <w:pPr>
              <w:rPr>
                <w:rFonts w:eastAsia="楷体_GB2312"/>
                <w:szCs w:val="21"/>
              </w:rPr>
            </w:pPr>
            <w:r>
              <w:rPr>
                <w:rFonts w:eastAsia="楷体_GB2312"/>
                <w:szCs w:val="21"/>
              </w:rPr>
              <w:t>报告期末基金份额总额</w:t>
            </w:r>
          </w:p>
        </w:tc>
        <w:tc>
          <w:tcPr>
            <w:tcW w:w="963" w:type="dxa"/>
          </w:tcPr>
          <w:p w14:paraId="4F00B04B" w14:textId="77777777" w:rsidR="00000000" w:rsidRDefault="00243083">
            <w:pPr>
              <w:rPr>
                <w:rFonts w:eastAsia="楷体_GB2312"/>
                <w:szCs w:val="21"/>
              </w:rPr>
            </w:pPr>
            <w:r>
              <w:rPr>
                <w:rFonts w:eastAsia="楷体_GB2312"/>
                <w:szCs w:val="21"/>
              </w:rPr>
              <w:t>0019</w:t>
            </w:r>
          </w:p>
        </w:tc>
        <w:tc>
          <w:tcPr>
            <w:tcW w:w="1985" w:type="dxa"/>
          </w:tcPr>
          <w:p w14:paraId="68781FA9" w14:textId="77777777" w:rsidR="00000000" w:rsidRDefault="00243083">
            <w:pPr>
              <w:rPr>
                <w:rFonts w:eastAsia="楷体_GB2312"/>
                <w:szCs w:val="21"/>
              </w:rPr>
            </w:pPr>
            <w:r>
              <w:rPr>
                <w:rFonts w:eastAsia="楷体_GB2312"/>
                <w:szCs w:val="21"/>
              </w:rPr>
              <w:t>1702</w:t>
            </w:r>
          </w:p>
        </w:tc>
        <w:tc>
          <w:tcPr>
            <w:tcW w:w="850" w:type="dxa"/>
          </w:tcPr>
          <w:p w14:paraId="63637E3E" w14:textId="77777777" w:rsidR="00000000" w:rsidRDefault="00243083">
            <w:pPr>
              <w:rPr>
                <w:rFonts w:eastAsia="楷体_GB2312"/>
                <w:szCs w:val="21"/>
              </w:rPr>
            </w:pPr>
          </w:p>
        </w:tc>
      </w:tr>
      <w:tr w:rsidR="00000000" w14:paraId="3F2E36F3" w14:textId="77777777">
        <w:tc>
          <w:tcPr>
            <w:tcW w:w="992" w:type="dxa"/>
          </w:tcPr>
          <w:p w14:paraId="3EF7518A" w14:textId="77777777" w:rsidR="00000000" w:rsidRDefault="00243083">
            <w:pPr>
              <w:rPr>
                <w:rFonts w:eastAsia="楷体_GB2312"/>
                <w:szCs w:val="21"/>
              </w:rPr>
            </w:pPr>
          </w:p>
        </w:tc>
        <w:tc>
          <w:tcPr>
            <w:tcW w:w="4535" w:type="dxa"/>
          </w:tcPr>
          <w:p w14:paraId="30FFE2B1" w14:textId="77777777" w:rsidR="00000000" w:rsidRDefault="00243083">
            <w:pPr>
              <w:rPr>
                <w:rFonts w:eastAsia="楷体_GB2312"/>
                <w:szCs w:val="21"/>
              </w:rPr>
            </w:pPr>
            <w:r>
              <w:rPr>
                <w:rFonts w:eastAsia="楷体_GB2312"/>
                <w:szCs w:val="21"/>
              </w:rPr>
              <w:t>交易代码</w:t>
            </w:r>
          </w:p>
        </w:tc>
        <w:tc>
          <w:tcPr>
            <w:tcW w:w="963" w:type="dxa"/>
          </w:tcPr>
          <w:p w14:paraId="63A865AF" w14:textId="77777777" w:rsidR="00000000" w:rsidRDefault="00243083">
            <w:pPr>
              <w:rPr>
                <w:rFonts w:eastAsia="楷体_GB2312"/>
                <w:szCs w:val="21"/>
              </w:rPr>
            </w:pPr>
            <w:r>
              <w:rPr>
                <w:rFonts w:eastAsia="楷体_GB2312"/>
                <w:szCs w:val="21"/>
              </w:rPr>
              <w:t>0012</w:t>
            </w:r>
          </w:p>
        </w:tc>
        <w:tc>
          <w:tcPr>
            <w:tcW w:w="1985" w:type="dxa"/>
          </w:tcPr>
          <w:p w14:paraId="4E51CC0E" w14:textId="77777777" w:rsidR="00000000" w:rsidRDefault="00243083">
            <w:pPr>
              <w:rPr>
                <w:rFonts w:eastAsia="楷体_GB2312"/>
                <w:szCs w:val="21"/>
              </w:rPr>
            </w:pPr>
            <w:r>
              <w:rPr>
                <w:rFonts w:eastAsia="楷体_GB2312"/>
                <w:szCs w:val="21"/>
              </w:rPr>
              <w:t>0012</w:t>
            </w:r>
            <w:r>
              <w:rPr>
                <w:rFonts w:eastAsia="楷体_GB2312"/>
                <w:szCs w:val="21"/>
              </w:rPr>
              <w:t>、</w:t>
            </w:r>
            <w:r>
              <w:rPr>
                <w:rFonts w:eastAsia="楷体_GB2312"/>
                <w:szCs w:val="21"/>
              </w:rPr>
              <w:t>0014</w:t>
            </w:r>
            <w:r>
              <w:rPr>
                <w:rFonts w:eastAsia="楷体_GB2312"/>
                <w:szCs w:val="21"/>
              </w:rPr>
              <w:t>、</w:t>
            </w:r>
            <w:r>
              <w:rPr>
                <w:rFonts w:eastAsia="楷体_GB2312"/>
                <w:szCs w:val="21"/>
              </w:rPr>
              <w:t>0015</w:t>
            </w:r>
          </w:p>
        </w:tc>
        <w:tc>
          <w:tcPr>
            <w:tcW w:w="850" w:type="dxa"/>
          </w:tcPr>
          <w:p w14:paraId="330E1AFD" w14:textId="77777777" w:rsidR="00000000" w:rsidRDefault="00243083">
            <w:pPr>
              <w:rPr>
                <w:rFonts w:eastAsia="楷体_GB2312"/>
                <w:szCs w:val="21"/>
              </w:rPr>
            </w:pPr>
          </w:p>
        </w:tc>
      </w:tr>
      <w:tr w:rsidR="00000000" w14:paraId="045A9AAC" w14:textId="77777777">
        <w:tc>
          <w:tcPr>
            <w:tcW w:w="992" w:type="dxa"/>
          </w:tcPr>
          <w:p w14:paraId="6AFED65A" w14:textId="77777777" w:rsidR="00000000" w:rsidRDefault="00243083">
            <w:pPr>
              <w:rPr>
                <w:rFonts w:eastAsia="楷体_GB2312"/>
                <w:szCs w:val="21"/>
              </w:rPr>
            </w:pPr>
          </w:p>
        </w:tc>
        <w:tc>
          <w:tcPr>
            <w:tcW w:w="4535" w:type="dxa"/>
          </w:tcPr>
          <w:p w14:paraId="4D721EE0" w14:textId="77777777" w:rsidR="00000000" w:rsidRDefault="00243083">
            <w:pPr>
              <w:rPr>
                <w:rFonts w:eastAsia="楷体_GB2312"/>
                <w:szCs w:val="21"/>
              </w:rPr>
            </w:pPr>
            <w:r>
              <w:rPr>
                <w:rFonts w:eastAsia="楷体_GB2312"/>
                <w:szCs w:val="21"/>
              </w:rPr>
              <w:t>3.1</w:t>
            </w:r>
            <w:r>
              <w:rPr>
                <w:rFonts w:eastAsia="楷体_GB2312"/>
                <w:szCs w:val="21"/>
              </w:rPr>
              <w:t>主要财务指标中报告期</w:t>
            </w:r>
          </w:p>
        </w:tc>
        <w:tc>
          <w:tcPr>
            <w:tcW w:w="963" w:type="dxa"/>
          </w:tcPr>
          <w:p w14:paraId="2E174BAC" w14:textId="77777777" w:rsidR="00000000" w:rsidRDefault="00243083">
            <w:pPr>
              <w:rPr>
                <w:rFonts w:eastAsia="楷体_GB2312"/>
                <w:szCs w:val="21"/>
              </w:rPr>
            </w:pPr>
            <w:r>
              <w:rPr>
                <w:rFonts w:eastAsia="楷体_GB2312"/>
                <w:szCs w:val="21"/>
              </w:rPr>
              <w:t>0496</w:t>
            </w:r>
          </w:p>
        </w:tc>
        <w:tc>
          <w:tcPr>
            <w:tcW w:w="1985" w:type="dxa"/>
          </w:tcPr>
          <w:p w14:paraId="4EBEC639" w14:textId="77777777" w:rsidR="00000000" w:rsidRDefault="00243083">
            <w:pPr>
              <w:rPr>
                <w:rFonts w:eastAsia="楷体_GB2312"/>
                <w:szCs w:val="21"/>
              </w:rPr>
            </w:pPr>
            <w:r>
              <w:rPr>
                <w:rFonts w:eastAsia="楷体_GB2312"/>
                <w:szCs w:val="21"/>
              </w:rPr>
              <w:t>2023</w:t>
            </w:r>
            <w:r>
              <w:rPr>
                <w:rFonts w:eastAsia="楷体_GB2312"/>
                <w:szCs w:val="21"/>
              </w:rPr>
              <w:t>、</w:t>
            </w:r>
            <w:r>
              <w:rPr>
                <w:rFonts w:eastAsia="楷体_GB2312"/>
                <w:szCs w:val="21"/>
              </w:rPr>
              <w:t>2024</w:t>
            </w:r>
          </w:p>
        </w:tc>
        <w:tc>
          <w:tcPr>
            <w:tcW w:w="850" w:type="dxa"/>
          </w:tcPr>
          <w:p w14:paraId="07C75027" w14:textId="77777777" w:rsidR="00000000" w:rsidRDefault="00243083">
            <w:pPr>
              <w:rPr>
                <w:rFonts w:eastAsia="楷体_GB2312"/>
                <w:szCs w:val="21"/>
              </w:rPr>
            </w:pPr>
          </w:p>
        </w:tc>
      </w:tr>
      <w:tr w:rsidR="00000000" w14:paraId="4FCD895A" w14:textId="77777777">
        <w:tc>
          <w:tcPr>
            <w:tcW w:w="992" w:type="dxa"/>
          </w:tcPr>
          <w:p w14:paraId="22EC7C4C" w14:textId="77777777" w:rsidR="00000000" w:rsidRDefault="00243083">
            <w:pPr>
              <w:rPr>
                <w:rFonts w:eastAsia="楷体_GB2312"/>
                <w:szCs w:val="21"/>
              </w:rPr>
            </w:pPr>
          </w:p>
        </w:tc>
        <w:tc>
          <w:tcPr>
            <w:tcW w:w="4535" w:type="dxa"/>
          </w:tcPr>
          <w:p w14:paraId="656931D8" w14:textId="77777777" w:rsidR="00000000" w:rsidRDefault="00243083">
            <w:pPr>
              <w:rPr>
                <w:rFonts w:eastAsia="楷体_GB2312"/>
                <w:szCs w:val="21"/>
              </w:rPr>
            </w:pPr>
            <w:r>
              <w:rPr>
                <w:rFonts w:eastAsia="楷体_GB2312"/>
                <w:szCs w:val="21"/>
              </w:rPr>
              <w:t xml:space="preserve">“5.4 </w:t>
            </w:r>
            <w:r>
              <w:rPr>
                <w:rFonts w:eastAsia="楷体_GB2312"/>
                <w:szCs w:val="21"/>
              </w:rPr>
              <w:t>报告期末按债券品种分类的债券投资组合</w:t>
            </w:r>
            <w:r>
              <w:rPr>
                <w:rFonts w:eastAsia="楷体_GB2312"/>
                <w:szCs w:val="21"/>
              </w:rPr>
              <w:t>”</w:t>
            </w:r>
            <w:r>
              <w:rPr>
                <w:rFonts w:eastAsia="楷体_GB2312"/>
                <w:szCs w:val="21"/>
              </w:rPr>
              <w:t>中</w:t>
            </w:r>
            <w:r>
              <w:rPr>
                <w:rFonts w:eastAsia="楷体_GB2312"/>
                <w:szCs w:val="21"/>
              </w:rPr>
              <w:t>“</w:t>
            </w:r>
            <w:r>
              <w:rPr>
                <w:rFonts w:eastAsia="楷体_GB2312"/>
                <w:szCs w:val="21"/>
              </w:rPr>
              <w:t>占基金资产净值比例</w:t>
            </w:r>
            <w:r>
              <w:rPr>
                <w:rFonts w:eastAsia="楷体_GB2312"/>
                <w:szCs w:val="21"/>
              </w:rPr>
              <w:t>”</w:t>
            </w:r>
          </w:p>
        </w:tc>
        <w:tc>
          <w:tcPr>
            <w:tcW w:w="963" w:type="dxa"/>
          </w:tcPr>
          <w:p w14:paraId="0FAA1B31" w14:textId="77777777" w:rsidR="00000000" w:rsidRDefault="00243083">
            <w:pPr>
              <w:rPr>
                <w:rFonts w:eastAsia="楷体_GB2312"/>
                <w:szCs w:val="21"/>
              </w:rPr>
            </w:pPr>
            <w:r>
              <w:rPr>
                <w:rFonts w:eastAsia="楷体_GB2312"/>
                <w:szCs w:val="21"/>
              </w:rPr>
              <w:t>1439</w:t>
            </w:r>
          </w:p>
        </w:tc>
        <w:tc>
          <w:tcPr>
            <w:tcW w:w="1985" w:type="dxa"/>
          </w:tcPr>
          <w:p w14:paraId="0BE1D39D" w14:textId="77777777" w:rsidR="00000000" w:rsidRDefault="00243083">
            <w:pPr>
              <w:rPr>
                <w:rFonts w:eastAsia="楷体_GB2312"/>
                <w:szCs w:val="21"/>
              </w:rPr>
            </w:pPr>
            <w:r>
              <w:rPr>
                <w:rFonts w:eastAsia="楷体_GB2312"/>
                <w:szCs w:val="21"/>
              </w:rPr>
              <w:t>1753</w:t>
            </w:r>
          </w:p>
        </w:tc>
        <w:tc>
          <w:tcPr>
            <w:tcW w:w="850" w:type="dxa"/>
          </w:tcPr>
          <w:p w14:paraId="717FD2F9" w14:textId="77777777" w:rsidR="00000000" w:rsidRDefault="00243083">
            <w:pPr>
              <w:rPr>
                <w:rFonts w:eastAsia="楷体_GB2312"/>
                <w:szCs w:val="21"/>
              </w:rPr>
            </w:pPr>
          </w:p>
        </w:tc>
      </w:tr>
      <w:tr w:rsidR="00000000" w14:paraId="7173EA0F" w14:textId="77777777">
        <w:tc>
          <w:tcPr>
            <w:tcW w:w="8475" w:type="dxa"/>
            <w:gridSpan w:val="4"/>
          </w:tcPr>
          <w:p w14:paraId="1B1B14F1" w14:textId="77777777" w:rsidR="00000000" w:rsidRDefault="00243083">
            <w:pPr>
              <w:rPr>
                <w:rFonts w:eastAsia="楷体_GB2312"/>
                <w:b/>
                <w:szCs w:val="21"/>
              </w:rPr>
            </w:pPr>
            <w:r>
              <w:rPr>
                <w:rFonts w:eastAsia="楷体_GB2312"/>
                <w:b/>
                <w:szCs w:val="21"/>
              </w:rPr>
              <w:t>第三部分</w:t>
            </w:r>
            <w:r>
              <w:rPr>
                <w:rFonts w:eastAsia="楷体_GB2312"/>
                <w:b/>
                <w:szCs w:val="21"/>
              </w:rPr>
              <w:t xml:space="preserve"> QDII</w:t>
            </w:r>
            <w:r>
              <w:rPr>
                <w:rFonts w:eastAsia="楷体_GB2312"/>
                <w:b/>
                <w:szCs w:val="21"/>
              </w:rPr>
              <w:t>基金季度报告模板：</w:t>
            </w:r>
          </w:p>
        </w:tc>
        <w:tc>
          <w:tcPr>
            <w:tcW w:w="850" w:type="dxa"/>
          </w:tcPr>
          <w:p w14:paraId="78FF33D2" w14:textId="77777777" w:rsidR="00000000" w:rsidRDefault="00243083">
            <w:pPr>
              <w:rPr>
                <w:rFonts w:eastAsia="楷体_GB2312"/>
                <w:b/>
                <w:szCs w:val="21"/>
              </w:rPr>
            </w:pPr>
          </w:p>
        </w:tc>
      </w:tr>
      <w:tr w:rsidR="00000000" w14:paraId="720BC9CC" w14:textId="77777777">
        <w:tc>
          <w:tcPr>
            <w:tcW w:w="992" w:type="dxa"/>
          </w:tcPr>
          <w:p w14:paraId="06E73B83" w14:textId="77777777" w:rsidR="00000000" w:rsidRDefault="00243083">
            <w:pPr>
              <w:rPr>
                <w:rFonts w:eastAsia="楷体_GB2312"/>
                <w:szCs w:val="21"/>
              </w:rPr>
            </w:pPr>
          </w:p>
        </w:tc>
        <w:tc>
          <w:tcPr>
            <w:tcW w:w="4535" w:type="dxa"/>
          </w:tcPr>
          <w:p w14:paraId="6FE2C004" w14:textId="77777777" w:rsidR="00000000" w:rsidRDefault="00243083">
            <w:pPr>
              <w:rPr>
                <w:rFonts w:eastAsia="楷体_GB2312"/>
                <w:szCs w:val="21"/>
              </w:rPr>
            </w:pPr>
            <w:r>
              <w:rPr>
                <w:rFonts w:eastAsia="楷体_GB2312"/>
                <w:szCs w:val="21"/>
              </w:rPr>
              <w:t>重要提示中本报告期自</w:t>
            </w:r>
            <w:r>
              <w:rPr>
                <w:rFonts w:eastAsia="楷体_GB2312"/>
                <w:szCs w:val="21"/>
              </w:rPr>
              <w:t>_</w:t>
            </w:r>
            <w:r>
              <w:rPr>
                <w:rFonts w:eastAsia="楷体_GB2312"/>
                <w:szCs w:val="21"/>
              </w:rPr>
              <w:t>年</w:t>
            </w:r>
            <w:r>
              <w:rPr>
                <w:rFonts w:eastAsia="楷体_GB2312"/>
                <w:szCs w:val="21"/>
              </w:rPr>
              <w:t>_</w:t>
            </w:r>
            <w:r>
              <w:rPr>
                <w:rFonts w:eastAsia="楷体_GB2312"/>
                <w:szCs w:val="21"/>
              </w:rPr>
              <w:t>月</w:t>
            </w:r>
            <w:r>
              <w:rPr>
                <w:rFonts w:eastAsia="楷体_GB2312"/>
                <w:szCs w:val="21"/>
              </w:rPr>
              <w:t>_</w:t>
            </w:r>
            <w:r>
              <w:rPr>
                <w:rFonts w:eastAsia="楷体_GB2312"/>
                <w:szCs w:val="21"/>
              </w:rPr>
              <w:t>日起至</w:t>
            </w:r>
            <w:r>
              <w:rPr>
                <w:rFonts w:eastAsia="楷体_GB2312"/>
                <w:szCs w:val="21"/>
              </w:rPr>
              <w:t>_</w:t>
            </w:r>
            <w:r>
              <w:rPr>
                <w:rFonts w:eastAsia="楷体_GB2312"/>
                <w:szCs w:val="21"/>
              </w:rPr>
              <w:t>月</w:t>
            </w:r>
            <w:r>
              <w:rPr>
                <w:rFonts w:eastAsia="楷体_GB2312"/>
                <w:szCs w:val="21"/>
              </w:rPr>
              <w:t>_</w:t>
            </w:r>
            <w:r>
              <w:rPr>
                <w:rFonts w:eastAsia="楷体_GB2312"/>
                <w:szCs w:val="21"/>
              </w:rPr>
              <w:t>日止</w:t>
            </w:r>
          </w:p>
        </w:tc>
        <w:tc>
          <w:tcPr>
            <w:tcW w:w="963" w:type="dxa"/>
          </w:tcPr>
          <w:p w14:paraId="68ED58D4" w14:textId="77777777" w:rsidR="00000000" w:rsidRDefault="00243083">
            <w:pPr>
              <w:rPr>
                <w:rFonts w:eastAsia="楷体_GB2312"/>
                <w:szCs w:val="21"/>
              </w:rPr>
            </w:pPr>
          </w:p>
        </w:tc>
        <w:tc>
          <w:tcPr>
            <w:tcW w:w="1985" w:type="dxa"/>
          </w:tcPr>
          <w:p w14:paraId="7475B51F" w14:textId="77777777" w:rsidR="00000000" w:rsidRDefault="00243083">
            <w:pPr>
              <w:rPr>
                <w:rFonts w:eastAsia="楷体_GB2312"/>
                <w:szCs w:val="21"/>
              </w:rPr>
            </w:pPr>
            <w:r>
              <w:rPr>
                <w:rFonts w:eastAsia="楷体_GB2312"/>
                <w:szCs w:val="21"/>
              </w:rPr>
              <w:t>2023</w:t>
            </w:r>
            <w:r>
              <w:rPr>
                <w:rFonts w:eastAsia="楷体_GB2312"/>
                <w:szCs w:val="21"/>
              </w:rPr>
              <w:t>、</w:t>
            </w:r>
            <w:r>
              <w:rPr>
                <w:rFonts w:eastAsia="楷体_GB2312"/>
                <w:szCs w:val="21"/>
              </w:rPr>
              <w:t>2024</w:t>
            </w:r>
          </w:p>
        </w:tc>
        <w:tc>
          <w:tcPr>
            <w:tcW w:w="850" w:type="dxa"/>
          </w:tcPr>
          <w:p w14:paraId="62B26CFB" w14:textId="77777777" w:rsidR="00000000" w:rsidRDefault="00243083">
            <w:pPr>
              <w:rPr>
                <w:rFonts w:eastAsia="楷体_GB2312"/>
                <w:szCs w:val="21"/>
              </w:rPr>
            </w:pPr>
          </w:p>
        </w:tc>
      </w:tr>
      <w:tr w:rsidR="00000000" w14:paraId="50732165" w14:textId="77777777">
        <w:tc>
          <w:tcPr>
            <w:tcW w:w="992" w:type="dxa"/>
          </w:tcPr>
          <w:p w14:paraId="49499789" w14:textId="77777777" w:rsidR="00000000" w:rsidRDefault="00243083">
            <w:pPr>
              <w:rPr>
                <w:rFonts w:eastAsia="楷体_GB2312"/>
                <w:szCs w:val="21"/>
              </w:rPr>
            </w:pPr>
          </w:p>
        </w:tc>
        <w:tc>
          <w:tcPr>
            <w:tcW w:w="4535" w:type="dxa"/>
          </w:tcPr>
          <w:p w14:paraId="27474980" w14:textId="77777777" w:rsidR="00000000" w:rsidRDefault="00243083">
            <w:pPr>
              <w:rPr>
                <w:rFonts w:eastAsia="楷体_GB2312"/>
                <w:szCs w:val="21"/>
              </w:rPr>
            </w:pPr>
            <w:r>
              <w:rPr>
                <w:rFonts w:eastAsia="楷体_GB2312"/>
                <w:szCs w:val="21"/>
              </w:rPr>
              <w:t>报告期末基金份额总额</w:t>
            </w:r>
          </w:p>
        </w:tc>
        <w:tc>
          <w:tcPr>
            <w:tcW w:w="963" w:type="dxa"/>
          </w:tcPr>
          <w:p w14:paraId="74DB6819" w14:textId="77777777" w:rsidR="00000000" w:rsidRDefault="00243083">
            <w:pPr>
              <w:rPr>
                <w:rFonts w:eastAsia="楷体_GB2312"/>
                <w:szCs w:val="21"/>
              </w:rPr>
            </w:pPr>
            <w:r>
              <w:rPr>
                <w:rFonts w:eastAsia="楷体_GB2312"/>
                <w:szCs w:val="21"/>
              </w:rPr>
              <w:t>0019</w:t>
            </w:r>
          </w:p>
        </w:tc>
        <w:tc>
          <w:tcPr>
            <w:tcW w:w="1985" w:type="dxa"/>
          </w:tcPr>
          <w:p w14:paraId="2035748E" w14:textId="77777777" w:rsidR="00000000" w:rsidRDefault="00243083">
            <w:pPr>
              <w:rPr>
                <w:rFonts w:eastAsia="楷体_GB2312"/>
                <w:szCs w:val="21"/>
              </w:rPr>
            </w:pPr>
            <w:r>
              <w:rPr>
                <w:rFonts w:eastAsia="楷体_GB2312"/>
                <w:szCs w:val="21"/>
              </w:rPr>
              <w:t>1702</w:t>
            </w:r>
          </w:p>
        </w:tc>
        <w:tc>
          <w:tcPr>
            <w:tcW w:w="850" w:type="dxa"/>
          </w:tcPr>
          <w:p w14:paraId="3DC52D99" w14:textId="77777777" w:rsidR="00000000" w:rsidRDefault="00243083">
            <w:pPr>
              <w:rPr>
                <w:rFonts w:eastAsia="楷体_GB2312"/>
                <w:szCs w:val="21"/>
              </w:rPr>
            </w:pPr>
          </w:p>
        </w:tc>
      </w:tr>
      <w:tr w:rsidR="00000000" w14:paraId="402B5535" w14:textId="77777777">
        <w:tc>
          <w:tcPr>
            <w:tcW w:w="992" w:type="dxa"/>
          </w:tcPr>
          <w:p w14:paraId="6BD4FF39" w14:textId="77777777" w:rsidR="00000000" w:rsidRDefault="00243083">
            <w:pPr>
              <w:rPr>
                <w:rFonts w:eastAsia="楷体_GB2312"/>
                <w:szCs w:val="21"/>
              </w:rPr>
            </w:pPr>
          </w:p>
        </w:tc>
        <w:tc>
          <w:tcPr>
            <w:tcW w:w="4535" w:type="dxa"/>
          </w:tcPr>
          <w:p w14:paraId="65501E3F" w14:textId="77777777" w:rsidR="00000000" w:rsidRDefault="00243083">
            <w:pPr>
              <w:rPr>
                <w:rFonts w:eastAsia="楷体_GB2312"/>
                <w:szCs w:val="21"/>
              </w:rPr>
            </w:pPr>
            <w:r>
              <w:rPr>
                <w:rFonts w:eastAsia="楷体_GB2312"/>
                <w:szCs w:val="21"/>
              </w:rPr>
              <w:t>交易代码</w:t>
            </w:r>
          </w:p>
        </w:tc>
        <w:tc>
          <w:tcPr>
            <w:tcW w:w="963" w:type="dxa"/>
          </w:tcPr>
          <w:p w14:paraId="4DA5507F" w14:textId="77777777" w:rsidR="00000000" w:rsidRDefault="00243083">
            <w:pPr>
              <w:rPr>
                <w:rFonts w:eastAsia="楷体_GB2312"/>
                <w:szCs w:val="21"/>
              </w:rPr>
            </w:pPr>
            <w:r>
              <w:rPr>
                <w:rFonts w:eastAsia="楷体_GB2312"/>
                <w:szCs w:val="21"/>
              </w:rPr>
              <w:t>0012</w:t>
            </w:r>
          </w:p>
        </w:tc>
        <w:tc>
          <w:tcPr>
            <w:tcW w:w="1985" w:type="dxa"/>
          </w:tcPr>
          <w:p w14:paraId="5A0DEA68" w14:textId="77777777" w:rsidR="00000000" w:rsidRDefault="00243083">
            <w:pPr>
              <w:rPr>
                <w:rFonts w:eastAsia="楷体_GB2312"/>
                <w:szCs w:val="21"/>
              </w:rPr>
            </w:pPr>
            <w:r>
              <w:rPr>
                <w:rFonts w:eastAsia="楷体_GB2312"/>
                <w:szCs w:val="21"/>
              </w:rPr>
              <w:t>0012</w:t>
            </w:r>
            <w:r>
              <w:rPr>
                <w:rFonts w:eastAsia="楷体_GB2312"/>
                <w:szCs w:val="21"/>
              </w:rPr>
              <w:t>、</w:t>
            </w:r>
            <w:r>
              <w:rPr>
                <w:rFonts w:eastAsia="楷体_GB2312"/>
                <w:szCs w:val="21"/>
              </w:rPr>
              <w:t>0014</w:t>
            </w:r>
            <w:r>
              <w:rPr>
                <w:rFonts w:eastAsia="楷体_GB2312"/>
                <w:szCs w:val="21"/>
              </w:rPr>
              <w:t>、</w:t>
            </w:r>
            <w:r>
              <w:rPr>
                <w:rFonts w:eastAsia="楷体_GB2312"/>
                <w:szCs w:val="21"/>
              </w:rPr>
              <w:t>001</w:t>
            </w:r>
            <w:r>
              <w:rPr>
                <w:rFonts w:eastAsia="楷体_GB2312"/>
                <w:szCs w:val="21"/>
              </w:rPr>
              <w:t>5</w:t>
            </w:r>
          </w:p>
        </w:tc>
        <w:tc>
          <w:tcPr>
            <w:tcW w:w="850" w:type="dxa"/>
          </w:tcPr>
          <w:p w14:paraId="62E6828D" w14:textId="77777777" w:rsidR="00000000" w:rsidRDefault="00243083">
            <w:pPr>
              <w:rPr>
                <w:rFonts w:eastAsia="楷体_GB2312"/>
                <w:szCs w:val="21"/>
              </w:rPr>
            </w:pPr>
          </w:p>
        </w:tc>
      </w:tr>
      <w:tr w:rsidR="00000000" w14:paraId="1E3E3913" w14:textId="77777777">
        <w:tc>
          <w:tcPr>
            <w:tcW w:w="992" w:type="dxa"/>
          </w:tcPr>
          <w:p w14:paraId="5970A101" w14:textId="77777777" w:rsidR="00000000" w:rsidRDefault="00243083">
            <w:pPr>
              <w:rPr>
                <w:rFonts w:eastAsia="楷体_GB2312"/>
                <w:szCs w:val="21"/>
              </w:rPr>
            </w:pPr>
          </w:p>
        </w:tc>
        <w:tc>
          <w:tcPr>
            <w:tcW w:w="4535" w:type="dxa"/>
          </w:tcPr>
          <w:p w14:paraId="50DD7988" w14:textId="77777777" w:rsidR="00000000" w:rsidRDefault="00243083">
            <w:pPr>
              <w:rPr>
                <w:rFonts w:eastAsia="楷体_GB2312"/>
                <w:szCs w:val="21"/>
              </w:rPr>
            </w:pPr>
            <w:r>
              <w:rPr>
                <w:rFonts w:eastAsia="楷体_GB2312"/>
                <w:szCs w:val="21"/>
              </w:rPr>
              <w:t>3.1</w:t>
            </w:r>
            <w:r>
              <w:rPr>
                <w:rFonts w:eastAsia="楷体_GB2312"/>
                <w:szCs w:val="21"/>
              </w:rPr>
              <w:t>主要财务指标中报告期</w:t>
            </w:r>
          </w:p>
        </w:tc>
        <w:tc>
          <w:tcPr>
            <w:tcW w:w="963" w:type="dxa"/>
          </w:tcPr>
          <w:p w14:paraId="5B8C2BE6" w14:textId="77777777" w:rsidR="00000000" w:rsidRDefault="00243083">
            <w:pPr>
              <w:rPr>
                <w:rFonts w:eastAsia="楷体_GB2312"/>
                <w:szCs w:val="21"/>
              </w:rPr>
            </w:pPr>
            <w:r>
              <w:rPr>
                <w:rFonts w:eastAsia="楷体_GB2312"/>
                <w:szCs w:val="21"/>
              </w:rPr>
              <w:t>0496</w:t>
            </w:r>
          </w:p>
        </w:tc>
        <w:tc>
          <w:tcPr>
            <w:tcW w:w="1985" w:type="dxa"/>
          </w:tcPr>
          <w:p w14:paraId="2B7CFA10" w14:textId="77777777" w:rsidR="00000000" w:rsidRDefault="00243083">
            <w:pPr>
              <w:rPr>
                <w:rFonts w:eastAsia="楷体_GB2312"/>
                <w:szCs w:val="21"/>
              </w:rPr>
            </w:pPr>
            <w:r>
              <w:rPr>
                <w:rFonts w:eastAsia="楷体_GB2312"/>
                <w:szCs w:val="21"/>
              </w:rPr>
              <w:t>2023</w:t>
            </w:r>
            <w:r>
              <w:rPr>
                <w:rFonts w:eastAsia="楷体_GB2312"/>
                <w:szCs w:val="21"/>
              </w:rPr>
              <w:t>、</w:t>
            </w:r>
            <w:r>
              <w:rPr>
                <w:rFonts w:eastAsia="楷体_GB2312"/>
                <w:szCs w:val="21"/>
              </w:rPr>
              <w:t>2024</w:t>
            </w:r>
          </w:p>
        </w:tc>
        <w:tc>
          <w:tcPr>
            <w:tcW w:w="850" w:type="dxa"/>
          </w:tcPr>
          <w:p w14:paraId="7491F3AD" w14:textId="77777777" w:rsidR="00000000" w:rsidRDefault="00243083">
            <w:pPr>
              <w:rPr>
                <w:rFonts w:eastAsia="楷体_GB2312"/>
                <w:szCs w:val="21"/>
              </w:rPr>
            </w:pPr>
          </w:p>
        </w:tc>
      </w:tr>
      <w:tr w:rsidR="00000000" w14:paraId="4672E791" w14:textId="77777777">
        <w:tc>
          <w:tcPr>
            <w:tcW w:w="992" w:type="dxa"/>
          </w:tcPr>
          <w:p w14:paraId="54203FE1" w14:textId="77777777" w:rsidR="00000000" w:rsidRDefault="00243083">
            <w:pPr>
              <w:rPr>
                <w:rFonts w:eastAsia="楷体_GB2312"/>
                <w:szCs w:val="21"/>
              </w:rPr>
            </w:pPr>
          </w:p>
        </w:tc>
        <w:tc>
          <w:tcPr>
            <w:tcW w:w="4535" w:type="dxa"/>
          </w:tcPr>
          <w:p w14:paraId="743F7A7E" w14:textId="77777777" w:rsidR="00000000" w:rsidRDefault="00243083">
            <w:pPr>
              <w:rPr>
                <w:rFonts w:eastAsia="楷体_GB2312"/>
                <w:szCs w:val="21"/>
              </w:rPr>
            </w:pPr>
            <w:r>
              <w:rPr>
                <w:rFonts w:eastAsia="楷体_GB2312"/>
                <w:szCs w:val="21"/>
              </w:rPr>
              <w:t xml:space="preserve">4.2 </w:t>
            </w:r>
            <w:r>
              <w:rPr>
                <w:rFonts w:eastAsia="楷体_GB2312"/>
                <w:szCs w:val="21"/>
              </w:rPr>
              <w:t>境外投资顾问为本基金提供投资建议的主要成员简介中的备注</w:t>
            </w:r>
          </w:p>
        </w:tc>
        <w:tc>
          <w:tcPr>
            <w:tcW w:w="963" w:type="dxa"/>
          </w:tcPr>
          <w:p w14:paraId="424B3939" w14:textId="77777777" w:rsidR="00000000" w:rsidRDefault="00243083">
            <w:pPr>
              <w:rPr>
                <w:rFonts w:eastAsia="楷体_GB2312"/>
                <w:szCs w:val="21"/>
              </w:rPr>
            </w:pPr>
          </w:p>
        </w:tc>
        <w:tc>
          <w:tcPr>
            <w:tcW w:w="1985" w:type="dxa"/>
          </w:tcPr>
          <w:p w14:paraId="5ADF0683" w14:textId="77777777" w:rsidR="00000000" w:rsidRDefault="00243083">
            <w:pPr>
              <w:rPr>
                <w:rFonts w:eastAsia="楷体_GB2312"/>
                <w:szCs w:val="21"/>
              </w:rPr>
            </w:pPr>
            <w:r>
              <w:rPr>
                <w:rFonts w:eastAsia="楷体_GB2312"/>
                <w:szCs w:val="21"/>
              </w:rPr>
              <w:t>1740</w:t>
            </w:r>
          </w:p>
        </w:tc>
        <w:tc>
          <w:tcPr>
            <w:tcW w:w="850" w:type="dxa"/>
          </w:tcPr>
          <w:p w14:paraId="3909C261" w14:textId="77777777" w:rsidR="00000000" w:rsidRDefault="00243083">
            <w:pPr>
              <w:rPr>
                <w:rFonts w:eastAsia="楷体_GB2312"/>
                <w:szCs w:val="21"/>
              </w:rPr>
            </w:pPr>
          </w:p>
        </w:tc>
      </w:tr>
      <w:tr w:rsidR="00000000" w14:paraId="7B67F4D2" w14:textId="77777777">
        <w:tc>
          <w:tcPr>
            <w:tcW w:w="992" w:type="dxa"/>
          </w:tcPr>
          <w:p w14:paraId="412A87D5" w14:textId="77777777" w:rsidR="00000000" w:rsidRDefault="00243083">
            <w:pPr>
              <w:rPr>
                <w:rFonts w:eastAsia="楷体_GB2312"/>
                <w:szCs w:val="21"/>
              </w:rPr>
            </w:pPr>
          </w:p>
        </w:tc>
        <w:tc>
          <w:tcPr>
            <w:tcW w:w="4535" w:type="dxa"/>
          </w:tcPr>
          <w:p w14:paraId="17A9CE46" w14:textId="77777777" w:rsidR="00000000" w:rsidRDefault="00243083">
            <w:pPr>
              <w:rPr>
                <w:rFonts w:eastAsia="楷体_GB2312"/>
                <w:szCs w:val="21"/>
              </w:rPr>
            </w:pPr>
            <w:r>
              <w:rPr>
                <w:rFonts w:eastAsia="楷体_GB2312"/>
                <w:szCs w:val="21"/>
              </w:rPr>
              <w:t xml:space="preserve">“5.1 </w:t>
            </w:r>
            <w:r>
              <w:rPr>
                <w:rFonts w:eastAsia="楷体_GB2312"/>
                <w:szCs w:val="21"/>
              </w:rPr>
              <w:t>报告期末基金资产组合情况</w:t>
            </w:r>
            <w:r>
              <w:rPr>
                <w:rFonts w:eastAsia="楷体_GB2312"/>
                <w:szCs w:val="21"/>
              </w:rPr>
              <w:t>”</w:t>
            </w:r>
            <w:r>
              <w:rPr>
                <w:rFonts w:eastAsia="楷体_GB2312"/>
                <w:szCs w:val="21"/>
              </w:rPr>
              <w:t>中</w:t>
            </w:r>
            <w:r>
              <w:rPr>
                <w:rFonts w:eastAsia="楷体_GB2312"/>
                <w:szCs w:val="21"/>
              </w:rPr>
              <w:t>“</w:t>
            </w:r>
            <w:r>
              <w:rPr>
                <w:rFonts w:eastAsia="楷体_GB2312"/>
                <w:szCs w:val="21"/>
              </w:rPr>
              <w:t>金额</w:t>
            </w:r>
            <w:r>
              <w:rPr>
                <w:rFonts w:eastAsia="楷体_GB2312"/>
                <w:szCs w:val="21"/>
              </w:rPr>
              <w:t>”</w:t>
            </w:r>
          </w:p>
        </w:tc>
        <w:tc>
          <w:tcPr>
            <w:tcW w:w="963" w:type="dxa"/>
          </w:tcPr>
          <w:p w14:paraId="685B0960" w14:textId="77777777" w:rsidR="00000000" w:rsidRDefault="00243083">
            <w:pPr>
              <w:rPr>
                <w:rFonts w:eastAsia="楷体_GB2312"/>
                <w:szCs w:val="21"/>
              </w:rPr>
            </w:pPr>
            <w:r>
              <w:rPr>
                <w:rFonts w:eastAsia="楷体_GB2312"/>
                <w:szCs w:val="21"/>
              </w:rPr>
              <w:t>1044</w:t>
            </w:r>
          </w:p>
        </w:tc>
        <w:tc>
          <w:tcPr>
            <w:tcW w:w="1985" w:type="dxa"/>
          </w:tcPr>
          <w:p w14:paraId="07839FB0" w14:textId="77777777" w:rsidR="00000000" w:rsidRDefault="00243083">
            <w:pPr>
              <w:rPr>
                <w:rFonts w:eastAsia="楷体_GB2312"/>
                <w:szCs w:val="21"/>
              </w:rPr>
            </w:pPr>
            <w:r>
              <w:rPr>
                <w:rFonts w:eastAsia="楷体_GB2312"/>
                <w:szCs w:val="21"/>
              </w:rPr>
              <w:t>1046</w:t>
            </w:r>
          </w:p>
        </w:tc>
        <w:tc>
          <w:tcPr>
            <w:tcW w:w="850" w:type="dxa"/>
          </w:tcPr>
          <w:p w14:paraId="5F91E76C" w14:textId="77777777" w:rsidR="00000000" w:rsidRDefault="00243083">
            <w:pPr>
              <w:rPr>
                <w:rFonts w:eastAsia="楷体_GB2312"/>
                <w:szCs w:val="21"/>
              </w:rPr>
            </w:pPr>
          </w:p>
        </w:tc>
      </w:tr>
      <w:tr w:rsidR="00000000" w14:paraId="6FF7CFA5" w14:textId="77777777">
        <w:tc>
          <w:tcPr>
            <w:tcW w:w="992" w:type="dxa"/>
          </w:tcPr>
          <w:p w14:paraId="5E280D48" w14:textId="77777777" w:rsidR="00000000" w:rsidRDefault="00243083">
            <w:pPr>
              <w:rPr>
                <w:rFonts w:eastAsia="楷体_GB2312"/>
                <w:szCs w:val="21"/>
              </w:rPr>
            </w:pPr>
          </w:p>
        </w:tc>
        <w:tc>
          <w:tcPr>
            <w:tcW w:w="4535" w:type="dxa"/>
          </w:tcPr>
          <w:p w14:paraId="419259B3" w14:textId="77777777" w:rsidR="00000000" w:rsidRDefault="00243083">
            <w:pPr>
              <w:rPr>
                <w:rFonts w:eastAsia="楷体_GB2312"/>
                <w:szCs w:val="21"/>
              </w:rPr>
            </w:pPr>
            <w:r>
              <w:rPr>
                <w:rFonts w:eastAsia="楷体_GB2312"/>
                <w:szCs w:val="21"/>
              </w:rPr>
              <w:t xml:space="preserve">“5.1 </w:t>
            </w:r>
            <w:r>
              <w:rPr>
                <w:rFonts w:eastAsia="楷体_GB2312"/>
                <w:szCs w:val="21"/>
              </w:rPr>
              <w:t>报告期末基金资产组合情况</w:t>
            </w:r>
            <w:r>
              <w:rPr>
                <w:rFonts w:eastAsia="楷体_GB2312"/>
                <w:szCs w:val="21"/>
              </w:rPr>
              <w:t>”</w:t>
            </w:r>
            <w:r>
              <w:rPr>
                <w:rFonts w:eastAsia="楷体_GB2312"/>
                <w:szCs w:val="21"/>
              </w:rPr>
              <w:t>中</w:t>
            </w:r>
            <w:r>
              <w:rPr>
                <w:rFonts w:eastAsia="楷体_GB2312"/>
                <w:szCs w:val="21"/>
              </w:rPr>
              <w:t>“</w:t>
            </w:r>
            <w:r>
              <w:rPr>
                <w:rFonts w:eastAsia="楷体_GB2312"/>
                <w:szCs w:val="21"/>
              </w:rPr>
              <w:t>占基金总资产的比例</w:t>
            </w:r>
            <w:r>
              <w:rPr>
                <w:rFonts w:eastAsia="楷体_GB2312"/>
                <w:szCs w:val="21"/>
              </w:rPr>
              <w:t>”</w:t>
            </w:r>
          </w:p>
        </w:tc>
        <w:tc>
          <w:tcPr>
            <w:tcW w:w="963" w:type="dxa"/>
          </w:tcPr>
          <w:p w14:paraId="2687FA00" w14:textId="77777777" w:rsidR="00000000" w:rsidRDefault="00243083">
            <w:pPr>
              <w:rPr>
                <w:rFonts w:eastAsia="楷体_GB2312"/>
                <w:szCs w:val="21"/>
              </w:rPr>
            </w:pPr>
            <w:r>
              <w:rPr>
                <w:rFonts w:eastAsia="楷体_GB2312"/>
                <w:szCs w:val="21"/>
              </w:rPr>
              <w:t>1045</w:t>
            </w:r>
          </w:p>
        </w:tc>
        <w:tc>
          <w:tcPr>
            <w:tcW w:w="1985" w:type="dxa"/>
          </w:tcPr>
          <w:p w14:paraId="498EA0E6" w14:textId="77777777" w:rsidR="00000000" w:rsidRDefault="00243083">
            <w:pPr>
              <w:rPr>
                <w:rFonts w:eastAsia="楷体_GB2312"/>
                <w:szCs w:val="21"/>
              </w:rPr>
            </w:pPr>
            <w:r>
              <w:rPr>
                <w:rFonts w:eastAsia="楷体_GB2312"/>
                <w:szCs w:val="21"/>
              </w:rPr>
              <w:t>1047</w:t>
            </w:r>
          </w:p>
        </w:tc>
        <w:tc>
          <w:tcPr>
            <w:tcW w:w="850" w:type="dxa"/>
          </w:tcPr>
          <w:p w14:paraId="7FBF7BA8" w14:textId="77777777" w:rsidR="00000000" w:rsidRDefault="00243083">
            <w:pPr>
              <w:rPr>
                <w:rFonts w:eastAsia="楷体_GB2312"/>
                <w:szCs w:val="21"/>
              </w:rPr>
            </w:pPr>
          </w:p>
        </w:tc>
      </w:tr>
      <w:tr w:rsidR="00000000" w14:paraId="428D4A6F" w14:textId="77777777">
        <w:tc>
          <w:tcPr>
            <w:tcW w:w="992" w:type="dxa"/>
          </w:tcPr>
          <w:p w14:paraId="10E5D146" w14:textId="77777777" w:rsidR="00000000" w:rsidRDefault="00243083">
            <w:pPr>
              <w:rPr>
                <w:rFonts w:eastAsia="楷体_GB2312"/>
                <w:szCs w:val="21"/>
              </w:rPr>
            </w:pPr>
          </w:p>
        </w:tc>
        <w:tc>
          <w:tcPr>
            <w:tcW w:w="4535" w:type="dxa"/>
          </w:tcPr>
          <w:p w14:paraId="5B9A264C" w14:textId="77777777" w:rsidR="00000000" w:rsidRDefault="00243083">
            <w:pPr>
              <w:rPr>
                <w:rFonts w:eastAsia="楷体_GB2312"/>
                <w:szCs w:val="21"/>
              </w:rPr>
            </w:pPr>
            <w:r>
              <w:rPr>
                <w:rFonts w:eastAsia="楷体_GB2312"/>
                <w:szCs w:val="21"/>
              </w:rPr>
              <w:t xml:space="preserve">“5.3 </w:t>
            </w:r>
            <w:r>
              <w:rPr>
                <w:rFonts w:eastAsia="楷体_GB2312"/>
                <w:szCs w:val="21"/>
              </w:rPr>
              <w:t>报告期末按行业分类的股票及存托凭证投资组合</w:t>
            </w:r>
            <w:r>
              <w:rPr>
                <w:rFonts w:eastAsia="楷体_GB2312"/>
                <w:szCs w:val="21"/>
              </w:rPr>
              <w:t>”</w:t>
            </w:r>
            <w:r>
              <w:rPr>
                <w:rFonts w:eastAsia="楷体_GB2312"/>
                <w:szCs w:val="21"/>
              </w:rPr>
              <w:t>中</w:t>
            </w:r>
            <w:r>
              <w:rPr>
                <w:rFonts w:eastAsia="楷体_GB2312"/>
                <w:szCs w:val="21"/>
              </w:rPr>
              <w:t>“</w:t>
            </w:r>
            <w:r>
              <w:rPr>
                <w:rFonts w:eastAsia="楷体_GB2312"/>
                <w:szCs w:val="21"/>
              </w:rPr>
              <w:t>公允价值合计</w:t>
            </w:r>
            <w:r>
              <w:rPr>
                <w:rFonts w:eastAsia="楷体_GB2312"/>
                <w:szCs w:val="21"/>
              </w:rPr>
              <w:t>”</w:t>
            </w:r>
          </w:p>
        </w:tc>
        <w:tc>
          <w:tcPr>
            <w:tcW w:w="963" w:type="dxa"/>
          </w:tcPr>
          <w:p w14:paraId="43BC1078" w14:textId="77777777" w:rsidR="00000000" w:rsidRDefault="00243083">
            <w:pPr>
              <w:rPr>
                <w:rFonts w:eastAsia="楷体_GB2312"/>
                <w:szCs w:val="21"/>
              </w:rPr>
            </w:pPr>
          </w:p>
        </w:tc>
        <w:tc>
          <w:tcPr>
            <w:tcW w:w="1985" w:type="dxa"/>
          </w:tcPr>
          <w:p w14:paraId="20D0A3C9" w14:textId="77777777" w:rsidR="00000000" w:rsidRDefault="00243083">
            <w:pPr>
              <w:rPr>
                <w:rFonts w:eastAsia="楷体_GB2312"/>
                <w:szCs w:val="21"/>
              </w:rPr>
            </w:pPr>
            <w:r>
              <w:rPr>
                <w:rFonts w:eastAsia="楷体_GB2312"/>
                <w:szCs w:val="21"/>
              </w:rPr>
              <w:t>1953</w:t>
            </w:r>
          </w:p>
        </w:tc>
        <w:tc>
          <w:tcPr>
            <w:tcW w:w="850" w:type="dxa"/>
          </w:tcPr>
          <w:p w14:paraId="7F2827D6" w14:textId="77777777" w:rsidR="00000000" w:rsidRDefault="00243083">
            <w:pPr>
              <w:rPr>
                <w:rFonts w:eastAsia="楷体_GB2312"/>
                <w:szCs w:val="21"/>
              </w:rPr>
            </w:pPr>
          </w:p>
        </w:tc>
      </w:tr>
      <w:tr w:rsidR="00000000" w14:paraId="41D9FA96" w14:textId="77777777">
        <w:tc>
          <w:tcPr>
            <w:tcW w:w="992" w:type="dxa"/>
          </w:tcPr>
          <w:p w14:paraId="416D4A62" w14:textId="77777777" w:rsidR="00000000" w:rsidRDefault="00243083">
            <w:pPr>
              <w:rPr>
                <w:rFonts w:eastAsia="楷体_GB2312"/>
                <w:szCs w:val="21"/>
              </w:rPr>
            </w:pPr>
          </w:p>
        </w:tc>
        <w:tc>
          <w:tcPr>
            <w:tcW w:w="4535" w:type="dxa"/>
          </w:tcPr>
          <w:p w14:paraId="18CB6513" w14:textId="77777777" w:rsidR="00000000" w:rsidRDefault="00243083">
            <w:pPr>
              <w:rPr>
                <w:rFonts w:eastAsia="楷体_GB2312"/>
                <w:szCs w:val="21"/>
              </w:rPr>
            </w:pPr>
            <w:r>
              <w:rPr>
                <w:rFonts w:eastAsia="楷体_GB2312"/>
                <w:szCs w:val="21"/>
              </w:rPr>
              <w:t xml:space="preserve">“5.3 </w:t>
            </w:r>
            <w:r>
              <w:rPr>
                <w:rFonts w:eastAsia="楷体_GB2312"/>
                <w:szCs w:val="21"/>
              </w:rPr>
              <w:t>报告期末按行业分类的股票及存托凭证投资组合</w:t>
            </w:r>
            <w:r>
              <w:rPr>
                <w:rFonts w:eastAsia="楷体_GB2312"/>
                <w:szCs w:val="21"/>
              </w:rPr>
              <w:t>”</w:t>
            </w:r>
            <w:r>
              <w:rPr>
                <w:rFonts w:eastAsia="楷体_GB2312"/>
                <w:szCs w:val="21"/>
              </w:rPr>
              <w:t>中</w:t>
            </w:r>
            <w:r>
              <w:rPr>
                <w:rFonts w:eastAsia="楷体_GB2312"/>
                <w:szCs w:val="21"/>
              </w:rPr>
              <w:t>“</w:t>
            </w:r>
            <w:r>
              <w:rPr>
                <w:rFonts w:eastAsia="楷体_GB2312"/>
                <w:szCs w:val="21"/>
              </w:rPr>
              <w:t>合计占基金资产净值比例</w:t>
            </w:r>
            <w:r>
              <w:rPr>
                <w:rFonts w:eastAsia="楷体_GB2312"/>
                <w:szCs w:val="21"/>
              </w:rPr>
              <w:t>”</w:t>
            </w:r>
          </w:p>
        </w:tc>
        <w:tc>
          <w:tcPr>
            <w:tcW w:w="963" w:type="dxa"/>
          </w:tcPr>
          <w:p w14:paraId="4DF14AB7" w14:textId="77777777" w:rsidR="00000000" w:rsidRDefault="00243083">
            <w:pPr>
              <w:rPr>
                <w:rFonts w:eastAsia="楷体_GB2312"/>
                <w:szCs w:val="21"/>
              </w:rPr>
            </w:pPr>
          </w:p>
        </w:tc>
        <w:tc>
          <w:tcPr>
            <w:tcW w:w="1985" w:type="dxa"/>
          </w:tcPr>
          <w:p w14:paraId="3CCC2CE4" w14:textId="77777777" w:rsidR="00000000" w:rsidRDefault="00243083">
            <w:pPr>
              <w:rPr>
                <w:rFonts w:eastAsia="楷体_GB2312"/>
                <w:szCs w:val="21"/>
              </w:rPr>
            </w:pPr>
            <w:r>
              <w:rPr>
                <w:rFonts w:eastAsia="楷体_GB2312"/>
                <w:szCs w:val="21"/>
              </w:rPr>
              <w:t>1954</w:t>
            </w:r>
          </w:p>
        </w:tc>
        <w:tc>
          <w:tcPr>
            <w:tcW w:w="850" w:type="dxa"/>
          </w:tcPr>
          <w:p w14:paraId="7FE2FB92" w14:textId="77777777" w:rsidR="00000000" w:rsidRDefault="00243083">
            <w:pPr>
              <w:rPr>
                <w:rFonts w:eastAsia="楷体_GB2312"/>
                <w:szCs w:val="21"/>
              </w:rPr>
            </w:pPr>
          </w:p>
        </w:tc>
      </w:tr>
      <w:tr w:rsidR="00000000" w14:paraId="3DE6977A" w14:textId="77777777">
        <w:tc>
          <w:tcPr>
            <w:tcW w:w="992" w:type="dxa"/>
          </w:tcPr>
          <w:p w14:paraId="626F31B8" w14:textId="77777777" w:rsidR="00000000" w:rsidRDefault="00243083">
            <w:pPr>
              <w:rPr>
                <w:rFonts w:eastAsia="楷体_GB2312"/>
                <w:szCs w:val="21"/>
              </w:rPr>
            </w:pPr>
            <w:r>
              <w:rPr>
                <w:rFonts w:eastAsia="楷体_GB2312"/>
                <w:szCs w:val="21"/>
              </w:rPr>
              <w:t>0</w:t>
            </w:r>
            <w:r>
              <w:rPr>
                <w:rFonts w:eastAsia="楷体_GB2312"/>
                <w:szCs w:val="21"/>
              </w:rPr>
              <w:t>9-5-7</w:t>
            </w:r>
          </w:p>
        </w:tc>
        <w:tc>
          <w:tcPr>
            <w:tcW w:w="4535" w:type="dxa"/>
          </w:tcPr>
          <w:p w14:paraId="5ED348E4" w14:textId="77777777" w:rsidR="00000000" w:rsidRDefault="00243083">
            <w:pPr>
              <w:rPr>
                <w:rFonts w:eastAsia="楷体_GB2312"/>
                <w:szCs w:val="21"/>
              </w:rPr>
            </w:pPr>
            <w:r>
              <w:rPr>
                <w:rFonts w:eastAsia="楷体_GB2312"/>
                <w:szCs w:val="21"/>
              </w:rPr>
              <w:t>“5.4</w:t>
            </w:r>
            <w:r>
              <w:rPr>
                <w:rFonts w:eastAsia="楷体_GB2312"/>
                <w:szCs w:val="21"/>
              </w:rPr>
              <w:t>报告期末按公允价值占基金资产净值比例大小排序的前十名股票及存托凭证投资明细</w:t>
            </w:r>
            <w:r>
              <w:rPr>
                <w:rFonts w:eastAsia="楷体_GB2312"/>
                <w:szCs w:val="21"/>
              </w:rPr>
              <w:t>”</w:t>
            </w:r>
            <w:r>
              <w:rPr>
                <w:rFonts w:eastAsia="楷体_GB2312"/>
                <w:szCs w:val="21"/>
              </w:rPr>
              <w:t>中</w:t>
            </w:r>
            <w:r>
              <w:rPr>
                <w:rFonts w:eastAsia="楷体_GB2312"/>
                <w:szCs w:val="21"/>
              </w:rPr>
              <w:t>“</w:t>
            </w:r>
            <w:r>
              <w:rPr>
                <w:rFonts w:eastAsia="楷体_GB2312"/>
                <w:szCs w:val="21"/>
              </w:rPr>
              <w:t>序号</w:t>
            </w:r>
            <w:r>
              <w:rPr>
                <w:rFonts w:eastAsia="楷体_GB2312"/>
                <w:szCs w:val="21"/>
              </w:rPr>
              <w:t>”</w:t>
            </w:r>
          </w:p>
        </w:tc>
        <w:tc>
          <w:tcPr>
            <w:tcW w:w="963" w:type="dxa"/>
          </w:tcPr>
          <w:p w14:paraId="6AA045FE" w14:textId="77777777" w:rsidR="00000000" w:rsidRDefault="00243083">
            <w:pPr>
              <w:rPr>
                <w:rFonts w:eastAsia="楷体_GB2312"/>
                <w:szCs w:val="21"/>
              </w:rPr>
            </w:pPr>
            <w:r>
              <w:rPr>
                <w:rFonts w:eastAsia="楷体_GB2312"/>
                <w:szCs w:val="21"/>
              </w:rPr>
              <w:t>1375</w:t>
            </w:r>
          </w:p>
        </w:tc>
        <w:tc>
          <w:tcPr>
            <w:tcW w:w="1985" w:type="dxa"/>
          </w:tcPr>
          <w:p w14:paraId="21AA0215" w14:textId="77777777" w:rsidR="00000000" w:rsidRDefault="00243083">
            <w:pPr>
              <w:rPr>
                <w:rFonts w:eastAsia="楷体_GB2312"/>
                <w:szCs w:val="21"/>
              </w:rPr>
            </w:pPr>
            <w:r>
              <w:rPr>
                <w:rFonts w:eastAsia="楷体_GB2312"/>
                <w:szCs w:val="21"/>
              </w:rPr>
              <w:t>2348</w:t>
            </w:r>
          </w:p>
        </w:tc>
        <w:tc>
          <w:tcPr>
            <w:tcW w:w="850" w:type="dxa"/>
          </w:tcPr>
          <w:p w14:paraId="121EAD2F" w14:textId="77777777" w:rsidR="00000000" w:rsidRDefault="00243083">
            <w:pPr>
              <w:rPr>
                <w:rFonts w:eastAsia="楷体_GB2312"/>
                <w:szCs w:val="21"/>
              </w:rPr>
            </w:pPr>
          </w:p>
        </w:tc>
      </w:tr>
      <w:tr w:rsidR="00000000" w14:paraId="2FA6A4DD" w14:textId="77777777">
        <w:tc>
          <w:tcPr>
            <w:tcW w:w="992" w:type="dxa"/>
          </w:tcPr>
          <w:p w14:paraId="524DEE06" w14:textId="77777777" w:rsidR="00000000" w:rsidRDefault="00243083">
            <w:pPr>
              <w:rPr>
                <w:rFonts w:eastAsia="楷体_GB2312"/>
                <w:szCs w:val="21"/>
              </w:rPr>
            </w:pPr>
            <w:r>
              <w:rPr>
                <w:rFonts w:eastAsia="楷体_GB2312"/>
                <w:szCs w:val="21"/>
              </w:rPr>
              <w:t>09-5-7</w:t>
            </w:r>
          </w:p>
        </w:tc>
        <w:tc>
          <w:tcPr>
            <w:tcW w:w="4535" w:type="dxa"/>
          </w:tcPr>
          <w:p w14:paraId="12B139B1" w14:textId="77777777" w:rsidR="00000000" w:rsidRDefault="00243083">
            <w:pPr>
              <w:rPr>
                <w:rFonts w:eastAsia="楷体_GB2312"/>
                <w:szCs w:val="21"/>
              </w:rPr>
            </w:pPr>
            <w:r>
              <w:rPr>
                <w:rFonts w:eastAsia="楷体_GB2312"/>
                <w:szCs w:val="21"/>
              </w:rPr>
              <w:t>“5.4</w:t>
            </w:r>
            <w:r>
              <w:rPr>
                <w:rFonts w:eastAsia="楷体_GB2312"/>
                <w:szCs w:val="21"/>
              </w:rPr>
              <w:t>报告期末按公允价值占基金资产净值比例大小排序的前十名股票及存托凭证投资明细</w:t>
            </w:r>
            <w:r>
              <w:rPr>
                <w:rFonts w:eastAsia="楷体_GB2312"/>
                <w:szCs w:val="21"/>
              </w:rPr>
              <w:t>”</w:t>
            </w:r>
            <w:r>
              <w:rPr>
                <w:rFonts w:eastAsia="楷体_GB2312"/>
                <w:szCs w:val="21"/>
              </w:rPr>
              <w:t>中</w:t>
            </w:r>
            <w:r>
              <w:rPr>
                <w:rFonts w:eastAsia="楷体_GB2312"/>
                <w:szCs w:val="21"/>
              </w:rPr>
              <w:t>“</w:t>
            </w:r>
            <w:r>
              <w:rPr>
                <w:rFonts w:eastAsia="楷体_GB2312"/>
                <w:szCs w:val="21"/>
              </w:rPr>
              <w:t>证券代码</w:t>
            </w:r>
            <w:r>
              <w:rPr>
                <w:rFonts w:eastAsia="楷体_GB2312"/>
                <w:szCs w:val="21"/>
              </w:rPr>
              <w:t>”</w:t>
            </w:r>
          </w:p>
        </w:tc>
        <w:tc>
          <w:tcPr>
            <w:tcW w:w="963" w:type="dxa"/>
          </w:tcPr>
          <w:p w14:paraId="33FF0927" w14:textId="77777777" w:rsidR="00000000" w:rsidRDefault="00243083">
            <w:pPr>
              <w:rPr>
                <w:rFonts w:eastAsia="楷体_GB2312"/>
                <w:szCs w:val="21"/>
              </w:rPr>
            </w:pPr>
            <w:r>
              <w:rPr>
                <w:rFonts w:eastAsia="楷体_GB2312"/>
                <w:szCs w:val="21"/>
              </w:rPr>
              <w:t>1376</w:t>
            </w:r>
          </w:p>
        </w:tc>
        <w:tc>
          <w:tcPr>
            <w:tcW w:w="1985" w:type="dxa"/>
          </w:tcPr>
          <w:p w14:paraId="5A0EEC71" w14:textId="77777777" w:rsidR="00000000" w:rsidRDefault="00243083">
            <w:pPr>
              <w:rPr>
                <w:rFonts w:eastAsia="楷体_GB2312"/>
                <w:szCs w:val="21"/>
              </w:rPr>
            </w:pPr>
            <w:r>
              <w:rPr>
                <w:rFonts w:eastAsia="楷体_GB2312"/>
                <w:szCs w:val="21"/>
              </w:rPr>
              <w:t>2352</w:t>
            </w:r>
          </w:p>
        </w:tc>
        <w:tc>
          <w:tcPr>
            <w:tcW w:w="850" w:type="dxa"/>
          </w:tcPr>
          <w:p w14:paraId="09918BA3" w14:textId="77777777" w:rsidR="00000000" w:rsidRDefault="00243083">
            <w:pPr>
              <w:rPr>
                <w:rFonts w:eastAsia="楷体_GB2312"/>
                <w:szCs w:val="21"/>
              </w:rPr>
            </w:pPr>
          </w:p>
        </w:tc>
      </w:tr>
      <w:tr w:rsidR="00000000" w14:paraId="64653B30" w14:textId="77777777">
        <w:tc>
          <w:tcPr>
            <w:tcW w:w="992" w:type="dxa"/>
          </w:tcPr>
          <w:p w14:paraId="270F720D" w14:textId="77777777" w:rsidR="00000000" w:rsidRDefault="00243083">
            <w:pPr>
              <w:rPr>
                <w:rFonts w:eastAsia="楷体_GB2312"/>
                <w:szCs w:val="21"/>
              </w:rPr>
            </w:pPr>
            <w:r>
              <w:rPr>
                <w:rFonts w:eastAsia="楷体_GB2312"/>
                <w:szCs w:val="21"/>
              </w:rPr>
              <w:t>09-5-7</w:t>
            </w:r>
          </w:p>
        </w:tc>
        <w:tc>
          <w:tcPr>
            <w:tcW w:w="4535" w:type="dxa"/>
          </w:tcPr>
          <w:p w14:paraId="1697264E" w14:textId="77777777" w:rsidR="00000000" w:rsidRDefault="00243083">
            <w:pPr>
              <w:rPr>
                <w:rFonts w:eastAsia="楷体_GB2312"/>
                <w:szCs w:val="21"/>
              </w:rPr>
            </w:pPr>
            <w:r>
              <w:rPr>
                <w:rFonts w:eastAsia="楷体_GB2312"/>
                <w:szCs w:val="21"/>
              </w:rPr>
              <w:t>“5.4</w:t>
            </w:r>
            <w:r>
              <w:rPr>
                <w:rFonts w:eastAsia="楷体_GB2312"/>
                <w:szCs w:val="21"/>
              </w:rPr>
              <w:t>报告期末按公允价值占基金资产净值比例大小排序的前十名股票及存托凭证投资明细</w:t>
            </w:r>
            <w:r>
              <w:rPr>
                <w:rFonts w:eastAsia="楷体_GB2312"/>
                <w:szCs w:val="21"/>
              </w:rPr>
              <w:t>”</w:t>
            </w:r>
            <w:r>
              <w:rPr>
                <w:rFonts w:eastAsia="楷体_GB2312"/>
                <w:szCs w:val="21"/>
              </w:rPr>
              <w:t>中</w:t>
            </w:r>
            <w:r>
              <w:rPr>
                <w:rFonts w:eastAsia="楷体_GB2312"/>
                <w:szCs w:val="21"/>
              </w:rPr>
              <w:t>“</w:t>
            </w:r>
            <w:r>
              <w:rPr>
                <w:rFonts w:eastAsia="楷体_GB2312"/>
                <w:szCs w:val="21"/>
              </w:rPr>
              <w:t>公司名称（英文）</w:t>
            </w:r>
            <w:r>
              <w:rPr>
                <w:rFonts w:eastAsia="楷体_GB2312"/>
                <w:szCs w:val="21"/>
              </w:rPr>
              <w:t>”</w:t>
            </w:r>
          </w:p>
        </w:tc>
        <w:tc>
          <w:tcPr>
            <w:tcW w:w="963" w:type="dxa"/>
          </w:tcPr>
          <w:p w14:paraId="3FA5400C" w14:textId="77777777" w:rsidR="00000000" w:rsidRDefault="00243083">
            <w:pPr>
              <w:rPr>
                <w:rFonts w:eastAsia="楷体_GB2312"/>
                <w:szCs w:val="21"/>
              </w:rPr>
            </w:pPr>
            <w:r>
              <w:rPr>
                <w:rFonts w:eastAsia="楷体_GB2312"/>
                <w:szCs w:val="21"/>
              </w:rPr>
              <w:t>1378</w:t>
            </w:r>
          </w:p>
        </w:tc>
        <w:tc>
          <w:tcPr>
            <w:tcW w:w="1985" w:type="dxa"/>
          </w:tcPr>
          <w:p w14:paraId="4196F1AA" w14:textId="77777777" w:rsidR="00000000" w:rsidRDefault="00243083">
            <w:pPr>
              <w:rPr>
                <w:rFonts w:eastAsia="楷体_GB2312"/>
                <w:szCs w:val="21"/>
              </w:rPr>
            </w:pPr>
            <w:r>
              <w:rPr>
                <w:rFonts w:eastAsia="楷体_GB2312"/>
                <w:szCs w:val="21"/>
              </w:rPr>
              <w:t>2349</w:t>
            </w:r>
          </w:p>
        </w:tc>
        <w:tc>
          <w:tcPr>
            <w:tcW w:w="850" w:type="dxa"/>
          </w:tcPr>
          <w:p w14:paraId="56C1D069" w14:textId="77777777" w:rsidR="00000000" w:rsidRDefault="00243083">
            <w:pPr>
              <w:rPr>
                <w:rFonts w:eastAsia="楷体_GB2312"/>
                <w:szCs w:val="21"/>
              </w:rPr>
            </w:pPr>
          </w:p>
        </w:tc>
      </w:tr>
      <w:tr w:rsidR="00000000" w14:paraId="462625D4" w14:textId="77777777">
        <w:tc>
          <w:tcPr>
            <w:tcW w:w="992" w:type="dxa"/>
          </w:tcPr>
          <w:p w14:paraId="1A9C819F" w14:textId="77777777" w:rsidR="00000000" w:rsidRDefault="00243083">
            <w:pPr>
              <w:rPr>
                <w:rFonts w:eastAsia="楷体_GB2312"/>
                <w:szCs w:val="21"/>
              </w:rPr>
            </w:pPr>
            <w:r>
              <w:rPr>
                <w:rFonts w:eastAsia="楷体_GB2312"/>
                <w:szCs w:val="21"/>
              </w:rPr>
              <w:t>09-5-7</w:t>
            </w:r>
          </w:p>
        </w:tc>
        <w:tc>
          <w:tcPr>
            <w:tcW w:w="4535" w:type="dxa"/>
          </w:tcPr>
          <w:p w14:paraId="01257ACC" w14:textId="77777777" w:rsidR="00000000" w:rsidRDefault="00243083">
            <w:pPr>
              <w:rPr>
                <w:rFonts w:eastAsia="楷体_GB2312"/>
                <w:szCs w:val="21"/>
              </w:rPr>
            </w:pPr>
            <w:r>
              <w:rPr>
                <w:rFonts w:eastAsia="楷体_GB2312"/>
                <w:szCs w:val="21"/>
              </w:rPr>
              <w:t>“5.4</w:t>
            </w:r>
            <w:r>
              <w:rPr>
                <w:rFonts w:eastAsia="楷体_GB2312"/>
                <w:szCs w:val="21"/>
              </w:rPr>
              <w:t>报告期末按公允价值占基金资产净值比例大小排序的前十名股票及存托凭证投资明细</w:t>
            </w:r>
            <w:r>
              <w:rPr>
                <w:rFonts w:eastAsia="楷体_GB2312"/>
                <w:szCs w:val="21"/>
              </w:rPr>
              <w:t>”</w:t>
            </w:r>
            <w:r>
              <w:rPr>
                <w:rFonts w:eastAsia="楷体_GB2312"/>
                <w:szCs w:val="21"/>
              </w:rPr>
              <w:t>中</w:t>
            </w:r>
            <w:r>
              <w:rPr>
                <w:rFonts w:eastAsia="楷体_GB2312"/>
                <w:szCs w:val="21"/>
              </w:rPr>
              <w:t>“</w:t>
            </w:r>
            <w:r>
              <w:rPr>
                <w:rFonts w:eastAsia="楷体_GB2312"/>
                <w:szCs w:val="21"/>
              </w:rPr>
              <w:t>公司名称（中文）</w:t>
            </w:r>
            <w:r>
              <w:rPr>
                <w:rFonts w:eastAsia="楷体_GB2312"/>
                <w:szCs w:val="21"/>
              </w:rPr>
              <w:t>”</w:t>
            </w:r>
          </w:p>
        </w:tc>
        <w:tc>
          <w:tcPr>
            <w:tcW w:w="963" w:type="dxa"/>
          </w:tcPr>
          <w:p w14:paraId="15E482E8" w14:textId="77777777" w:rsidR="00000000" w:rsidRDefault="00243083">
            <w:pPr>
              <w:rPr>
                <w:rFonts w:eastAsia="楷体_GB2312"/>
                <w:szCs w:val="21"/>
              </w:rPr>
            </w:pPr>
            <w:r>
              <w:rPr>
                <w:rFonts w:eastAsia="楷体_GB2312"/>
                <w:szCs w:val="21"/>
              </w:rPr>
              <w:t>1377</w:t>
            </w:r>
          </w:p>
        </w:tc>
        <w:tc>
          <w:tcPr>
            <w:tcW w:w="1985" w:type="dxa"/>
          </w:tcPr>
          <w:p w14:paraId="7A7ECADB" w14:textId="77777777" w:rsidR="00000000" w:rsidRDefault="00243083">
            <w:pPr>
              <w:rPr>
                <w:rFonts w:eastAsia="楷体_GB2312"/>
                <w:szCs w:val="21"/>
              </w:rPr>
            </w:pPr>
            <w:r>
              <w:rPr>
                <w:rFonts w:eastAsia="楷体_GB2312"/>
                <w:szCs w:val="21"/>
              </w:rPr>
              <w:t>2350</w:t>
            </w:r>
          </w:p>
        </w:tc>
        <w:tc>
          <w:tcPr>
            <w:tcW w:w="850" w:type="dxa"/>
          </w:tcPr>
          <w:p w14:paraId="6D393153" w14:textId="77777777" w:rsidR="00000000" w:rsidRDefault="00243083">
            <w:pPr>
              <w:rPr>
                <w:rFonts w:eastAsia="楷体_GB2312"/>
                <w:szCs w:val="21"/>
              </w:rPr>
            </w:pPr>
          </w:p>
        </w:tc>
      </w:tr>
      <w:tr w:rsidR="00000000" w14:paraId="3AE8F26E" w14:textId="77777777">
        <w:tc>
          <w:tcPr>
            <w:tcW w:w="992" w:type="dxa"/>
          </w:tcPr>
          <w:p w14:paraId="4086066A" w14:textId="77777777" w:rsidR="00000000" w:rsidRDefault="00243083">
            <w:pPr>
              <w:rPr>
                <w:rFonts w:eastAsia="楷体_GB2312"/>
                <w:szCs w:val="21"/>
              </w:rPr>
            </w:pPr>
            <w:r>
              <w:rPr>
                <w:rFonts w:eastAsia="楷体_GB2312"/>
                <w:szCs w:val="21"/>
              </w:rPr>
              <w:t>09-5-7</w:t>
            </w:r>
          </w:p>
        </w:tc>
        <w:tc>
          <w:tcPr>
            <w:tcW w:w="4535" w:type="dxa"/>
          </w:tcPr>
          <w:p w14:paraId="70B0E686" w14:textId="77777777" w:rsidR="00000000" w:rsidRDefault="00243083">
            <w:pPr>
              <w:rPr>
                <w:rFonts w:eastAsia="楷体_GB2312"/>
                <w:szCs w:val="21"/>
              </w:rPr>
            </w:pPr>
            <w:r>
              <w:rPr>
                <w:rFonts w:eastAsia="楷体_GB2312"/>
                <w:szCs w:val="21"/>
              </w:rPr>
              <w:t>“5.4</w:t>
            </w:r>
            <w:r>
              <w:rPr>
                <w:rFonts w:eastAsia="楷体_GB2312"/>
                <w:szCs w:val="21"/>
              </w:rPr>
              <w:t>报告期末按公允价值占基金资产净值比例大小排序的前十名股票及存托凭证投资明细</w:t>
            </w:r>
            <w:r>
              <w:rPr>
                <w:rFonts w:eastAsia="楷体_GB2312"/>
                <w:szCs w:val="21"/>
              </w:rPr>
              <w:t>”</w:t>
            </w:r>
            <w:r>
              <w:rPr>
                <w:rFonts w:eastAsia="楷体_GB2312"/>
                <w:szCs w:val="21"/>
              </w:rPr>
              <w:t>中</w:t>
            </w:r>
            <w:r>
              <w:rPr>
                <w:rFonts w:eastAsia="楷体_GB2312"/>
                <w:szCs w:val="21"/>
              </w:rPr>
              <w:t>“</w:t>
            </w:r>
            <w:r>
              <w:rPr>
                <w:rFonts w:eastAsia="楷体_GB2312"/>
                <w:szCs w:val="21"/>
              </w:rPr>
              <w:t>所在证券市场</w:t>
            </w:r>
            <w:r>
              <w:rPr>
                <w:rFonts w:eastAsia="楷体_GB2312"/>
                <w:szCs w:val="21"/>
              </w:rPr>
              <w:t>”</w:t>
            </w:r>
          </w:p>
        </w:tc>
        <w:tc>
          <w:tcPr>
            <w:tcW w:w="963" w:type="dxa"/>
          </w:tcPr>
          <w:p w14:paraId="4D889099" w14:textId="77777777" w:rsidR="00000000" w:rsidRDefault="00243083">
            <w:pPr>
              <w:rPr>
                <w:rFonts w:eastAsia="楷体_GB2312"/>
                <w:szCs w:val="21"/>
              </w:rPr>
            </w:pPr>
            <w:r>
              <w:rPr>
                <w:rFonts w:eastAsia="楷体_GB2312"/>
                <w:szCs w:val="21"/>
              </w:rPr>
              <w:t>1381</w:t>
            </w:r>
          </w:p>
        </w:tc>
        <w:tc>
          <w:tcPr>
            <w:tcW w:w="1985" w:type="dxa"/>
          </w:tcPr>
          <w:p w14:paraId="0B202968" w14:textId="77777777" w:rsidR="00000000" w:rsidRDefault="00243083">
            <w:pPr>
              <w:rPr>
                <w:rFonts w:eastAsia="楷体_GB2312"/>
                <w:szCs w:val="21"/>
              </w:rPr>
            </w:pPr>
            <w:r>
              <w:rPr>
                <w:rFonts w:eastAsia="楷体_GB2312"/>
                <w:szCs w:val="21"/>
              </w:rPr>
              <w:t>2353</w:t>
            </w:r>
          </w:p>
        </w:tc>
        <w:tc>
          <w:tcPr>
            <w:tcW w:w="850" w:type="dxa"/>
          </w:tcPr>
          <w:p w14:paraId="6BE13CDE" w14:textId="77777777" w:rsidR="00000000" w:rsidRDefault="00243083">
            <w:pPr>
              <w:rPr>
                <w:rFonts w:eastAsia="楷体_GB2312"/>
                <w:szCs w:val="21"/>
              </w:rPr>
            </w:pPr>
          </w:p>
        </w:tc>
      </w:tr>
      <w:tr w:rsidR="00000000" w14:paraId="590651CE" w14:textId="77777777">
        <w:tc>
          <w:tcPr>
            <w:tcW w:w="992" w:type="dxa"/>
          </w:tcPr>
          <w:p w14:paraId="15A94174" w14:textId="77777777" w:rsidR="00000000" w:rsidRDefault="00243083">
            <w:pPr>
              <w:rPr>
                <w:rFonts w:eastAsia="楷体_GB2312"/>
                <w:szCs w:val="21"/>
              </w:rPr>
            </w:pPr>
            <w:r>
              <w:rPr>
                <w:rFonts w:eastAsia="楷体_GB2312"/>
                <w:szCs w:val="21"/>
              </w:rPr>
              <w:t>09-5-7</w:t>
            </w:r>
          </w:p>
        </w:tc>
        <w:tc>
          <w:tcPr>
            <w:tcW w:w="4535" w:type="dxa"/>
          </w:tcPr>
          <w:p w14:paraId="1940AA4D" w14:textId="77777777" w:rsidR="00000000" w:rsidRDefault="00243083">
            <w:pPr>
              <w:rPr>
                <w:rFonts w:eastAsia="楷体_GB2312"/>
                <w:szCs w:val="21"/>
              </w:rPr>
            </w:pPr>
            <w:r>
              <w:rPr>
                <w:rFonts w:eastAsia="楷体_GB2312"/>
                <w:szCs w:val="21"/>
              </w:rPr>
              <w:t>“5.4</w:t>
            </w:r>
            <w:r>
              <w:rPr>
                <w:rFonts w:eastAsia="楷体_GB2312"/>
                <w:szCs w:val="21"/>
              </w:rPr>
              <w:t>报告期末按公允价值占基金资产净值比例大小排序的前十名股票及存托凭证投资明细</w:t>
            </w:r>
            <w:r>
              <w:rPr>
                <w:rFonts w:eastAsia="楷体_GB2312"/>
                <w:szCs w:val="21"/>
              </w:rPr>
              <w:t>”</w:t>
            </w:r>
            <w:r>
              <w:rPr>
                <w:rFonts w:eastAsia="楷体_GB2312"/>
                <w:szCs w:val="21"/>
              </w:rPr>
              <w:t>中</w:t>
            </w:r>
            <w:r>
              <w:rPr>
                <w:rFonts w:eastAsia="楷体_GB2312"/>
                <w:szCs w:val="21"/>
              </w:rPr>
              <w:t>“</w:t>
            </w:r>
            <w:r>
              <w:rPr>
                <w:rFonts w:eastAsia="楷体_GB2312"/>
                <w:szCs w:val="21"/>
              </w:rPr>
              <w:t>所属国家</w:t>
            </w:r>
            <w:r>
              <w:rPr>
                <w:rFonts w:eastAsia="楷体_GB2312"/>
                <w:szCs w:val="21"/>
              </w:rPr>
              <w:t>(</w:t>
            </w:r>
            <w:r>
              <w:rPr>
                <w:rFonts w:eastAsia="楷体_GB2312"/>
                <w:szCs w:val="21"/>
              </w:rPr>
              <w:t>地区</w:t>
            </w:r>
            <w:r>
              <w:rPr>
                <w:rFonts w:eastAsia="楷体_GB2312"/>
                <w:szCs w:val="21"/>
              </w:rPr>
              <w:t>)”</w:t>
            </w:r>
          </w:p>
        </w:tc>
        <w:tc>
          <w:tcPr>
            <w:tcW w:w="963" w:type="dxa"/>
          </w:tcPr>
          <w:p w14:paraId="60D2176C" w14:textId="77777777" w:rsidR="00000000" w:rsidRDefault="00243083">
            <w:pPr>
              <w:rPr>
                <w:rFonts w:eastAsia="楷体_GB2312"/>
                <w:szCs w:val="21"/>
              </w:rPr>
            </w:pPr>
            <w:r>
              <w:rPr>
                <w:rFonts w:eastAsia="楷体_GB2312"/>
                <w:szCs w:val="21"/>
              </w:rPr>
              <w:t>1380</w:t>
            </w:r>
          </w:p>
        </w:tc>
        <w:tc>
          <w:tcPr>
            <w:tcW w:w="1985" w:type="dxa"/>
          </w:tcPr>
          <w:p w14:paraId="76D98710" w14:textId="77777777" w:rsidR="00000000" w:rsidRDefault="00243083">
            <w:pPr>
              <w:rPr>
                <w:rFonts w:eastAsia="楷体_GB2312"/>
                <w:szCs w:val="21"/>
              </w:rPr>
            </w:pPr>
            <w:r>
              <w:rPr>
                <w:rFonts w:eastAsia="楷体_GB2312"/>
                <w:szCs w:val="21"/>
              </w:rPr>
              <w:t>2354</w:t>
            </w:r>
          </w:p>
        </w:tc>
        <w:tc>
          <w:tcPr>
            <w:tcW w:w="850" w:type="dxa"/>
          </w:tcPr>
          <w:p w14:paraId="121F622F" w14:textId="77777777" w:rsidR="00000000" w:rsidRDefault="00243083">
            <w:pPr>
              <w:rPr>
                <w:rFonts w:eastAsia="楷体_GB2312"/>
                <w:szCs w:val="21"/>
              </w:rPr>
            </w:pPr>
          </w:p>
        </w:tc>
      </w:tr>
      <w:tr w:rsidR="00000000" w14:paraId="79E963C3" w14:textId="77777777">
        <w:tc>
          <w:tcPr>
            <w:tcW w:w="992" w:type="dxa"/>
          </w:tcPr>
          <w:p w14:paraId="627D3688" w14:textId="77777777" w:rsidR="00000000" w:rsidRDefault="00243083">
            <w:pPr>
              <w:rPr>
                <w:rFonts w:eastAsia="楷体_GB2312"/>
                <w:szCs w:val="21"/>
              </w:rPr>
            </w:pPr>
            <w:r>
              <w:rPr>
                <w:rFonts w:eastAsia="楷体_GB2312"/>
                <w:szCs w:val="21"/>
              </w:rPr>
              <w:t>09-5-7</w:t>
            </w:r>
          </w:p>
        </w:tc>
        <w:tc>
          <w:tcPr>
            <w:tcW w:w="4535" w:type="dxa"/>
          </w:tcPr>
          <w:p w14:paraId="78A1F26B" w14:textId="77777777" w:rsidR="00000000" w:rsidRDefault="00243083">
            <w:pPr>
              <w:rPr>
                <w:rFonts w:eastAsia="楷体_GB2312"/>
                <w:szCs w:val="21"/>
              </w:rPr>
            </w:pPr>
            <w:r>
              <w:rPr>
                <w:rFonts w:eastAsia="楷体_GB2312"/>
                <w:szCs w:val="21"/>
              </w:rPr>
              <w:t>“5.4</w:t>
            </w:r>
            <w:r>
              <w:rPr>
                <w:rFonts w:eastAsia="楷体_GB2312"/>
                <w:szCs w:val="21"/>
              </w:rPr>
              <w:t>报告期末按公允价值占基金资产净值比例大小排序的前十名股票及存托凭证投资明细</w:t>
            </w:r>
            <w:r>
              <w:rPr>
                <w:rFonts w:eastAsia="楷体_GB2312"/>
                <w:szCs w:val="21"/>
              </w:rPr>
              <w:t>”</w:t>
            </w:r>
            <w:r>
              <w:rPr>
                <w:rFonts w:eastAsia="楷体_GB2312"/>
                <w:szCs w:val="21"/>
              </w:rPr>
              <w:t>中</w:t>
            </w:r>
            <w:r>
              <w:rPr>
                <w:rFonts w:eastAsia="楷体_GB2312"/>
                <w:szCs w:val="21"/>
              </w:rPr>
              <w:t>“</w:t>
            </w:r>
            <w:r>
              <w:rPr>
                <w:rFonts w:eastAsia="楷体_GB2312"/>
                <w:szCs w:val="21"/>
              </w:rPr>
              <w:t>数量（股）</w:t>
            </w:r>
            <w:r>
              <w:rPr>
                <w:rFonts w:eastAsia="楷体_GB2312"/>
                <w:szCs w:val="21"/>
              </w:rPr>
              <w:t>”</w:t>
            </w:r>
          </w:p>
        </w:tc>
        <w:tc>
          <w:tcPr>
            <w:tcW w:w="963" w:type="dxa"/>
          </w:tcPr>
          <w:p w14:paraId="77DDEC1A" w14:textId="77777777" w:rsidR="00000000" w:rsidRDefault="00243083">
            <w:pPr>
              <w:rPr>
                <w:rFonts w:eastAsia="楷体_GB2312"/>
                <w:szCs w:val="21"/>
              </w:rPr>
            </w:pPr>
            <w:r>
              <w:rPr>
                <w:rFonts w:eastAsia="楷体_GB2312"/>
                <w:szCs w:val="21"/>
              </w:rPr>
              <w:t>1382</w:t>
            </w:r>
          </w:p>
        </w:tc>
        <w:tc>
          <w:tcPr>
            <w:tcW w:w="1985" w:type="dxa"/>
          </w:tcPr>
          <w:p w14:paraId="17B79DC1" w14:textId="77777777" w:rsidR="00000000" w:rsidRDefault="00243083">
            <w:pPr>
              <w:rPr>
                <w:rFonts w:eastAsia="楷体_GB2312"/>
                <w:szCs w:val="21"/>
              </w:rPr>
            </w:pPr>
            <w:r>
              <w:rPr>
                <w:rFonts w:eastAsia="楷体_GB2312"/>
                <w:szCs w:val="21"/>
              </w:rPr>
              <w:t>2355</w:t>
            </w:r>
          </w:p>
        </w:tc>
        <w:tc>
          <w:tcPr>
            <w:tcW w:w="850" w:type="dxa"/>
          </w:tcPr>
          <w:p w14:paraId="7A2BB5C6" w14:textId="77777777" w:rsidR="00000000" w:rsidRDefault="00243083">
            <w:pPr>
              <w:rPr>
                <w:rFonts w:eastAsia="楷体_GB2312"/>
                <w:szCs w:val="21"/>
              </w:rPr>
            </w:pPr>
          </w:p>
        </w:tc>
      </w:tr>
      <w:tr w:rsidR="00000000" w14:paraId="053FDA72" w14:textId="77777777">
        <w:tc>
          <w:tcPr>
            <w:tcW w:w="992" w:type="dxa"/>
          </w:tcPr>
          <w:p w14:paraId="09A53358" w14:textId="77777777" w:rsidR="00000000" w:rsidRDefault="00243083">
            <w:pPr>
              <w:rPr>
                <w:rFonts w:eastAsia="楷体_GB2312"/>
                <w:szCs w:val="21"/>
              </w:rPr>
            </w:pPr>
            <w:r>
              <w:rPr>
                <w:rFonts w:eastAsia="楷体_GB2312"/>
                <w:szCs w:val="21"/>
              </w:rPr>
              <w:t>09-5-7</w:t>
            </w:r>
          </w:p>
        </w:tc>
        <w:tc>
          <w:tcPr>
            <w:tcW w:w="4535" w:type="dxa"/>
          </w:tcPr>
          <w:p w14:paraId="21AF620E" w14:textId="77777777" w:rsidR="00000000" w:rsidRDefault="00243083">
            <w:pPr>
              <w:rPr>
                <w:rFonts w:eastAsia="楷体_GB2312"/>
                <w:szCs w:val="21"/>
              </w:rPr>
            </w:pPr>
            <w:r>
              <w:rPr>
                <w:rFonts w:eastAsia="楷体_GB2312"/>
                <w:szCs w:val="21"/>
              </w:rPr>
              <w:t>“5.4</w:t>
            </w:r>
            <w:r>
              <w:rPr>
                <w:rFonts w:eastAsia="楷体_GB2312"/>
                <w:szCs w:val="21"/>
              </w:rPr>
              <w:t>报告期末按公</w:t>
            </w:r>
            <w:r>
              <w:rPr>
                <w:rFonts w:eastAsia="楷体_GB2312"/>
                <w:szCs w:val="21"/>
              </w:rPr>
              <w:t>允价值占基金资产净值比例大小排序的前十名股票及存托凭证投资明细</w:t>
            </w:r>
            <w:r>
              <w:rPr>
                <w:rFonts w:eastAsia="楷体_GB2312"/>
                <w:szCs w:val="21"/>
              </w:rPr>
              <w:t>”</w:t>
            </w:r>
            <w:r>
              <w:rPr>
                <w:rFonts w:eastAsia="楷体_GB2312"/>
                <w:szCs w:val="21"/>
              </w:rPr>
              <w:t>中</w:t>
            </w:r>
            <w:r>
              <w:rPr>
                <w:rFonts w:eastAsia="楷体_GB2312"/>
                <w:szCs w:val="21"/>
              </w:rPr>
              <w:t>“</w:t>
            </w:r>
            <w:r>
              <w:rPr>
                <w:rFonts w:eastAsia="楷体_GB2312"/>
                <w:szCs w:val="21"/>
              </w:rPr>
              <w:t>公允价值（</w:t>
            </w:r>
            <w:r>
              <w:rPr>
                <w:rFonts w:eastAsia="楷体_GB2312"/>
                <w:szCs w:val="21"/>
              </w:rPr>
              <w:t>××</w:t>
            </w:r>
            <w:r>
              <w:rPr>
                <w:rFonts w:eastAsia="楷体_GB2312"/>
                <w:szCs w:val="21"/>
              </w:rPr>
              <w:t>元）</w:t>
            </w:r>
            <w:r>
              <w:rPr>
                <w:rFonts w:eastAsia="楷体_GB2312"/>
                <w:szCs w:val="21"/>
              </w:rPr>
              <w:t>”</w:t>
            </w:r>
          </w:p>
        </w:tc>
        <w:tc>
          <w:tcPr>
            <w:tcW w:w="963" w:type="dxa"/>
          </w:tcPr>
          <w:p w14:paraId="60517792" w14:textId="77777777" w:rsidR="00000000" w:rsidRDefault="00243083">
            <w:pPr>
              <w:rPr>
                <w:rFonts w:eastAsia="楷体_GB2312"/>
                <w:szCs w:val="21"/>
              </w:rPr>
            </w:pPr>
            <w:r>
              <w:rPr>
                <w:rFonts w:eastAsia="楷体_GB2312"/>
                <w:szCs w:val="21"/>
              </w:rPr>
              <w:t>1383</w:t>
            </w:r>
          </w:p>
        </w:tc>
        <w:tc>
          <w:tcPr>
            <w:tcW w:w="1985" w:type="dxa"/>
          </w:tcPr>
          <w:p w14:paraId="3064F6A1" w14:textId="77777777" w:rsidR="00000000" w:rsidRDefault="00243083">
            <w:pPr>
              <w:rPr>
                <w:rFonts w:eastAsia="楷体_GB2312"/>
                <w:szCs w:val="21"/>
              </w:rPr>
            </w:pPr>
            <w:r>
              <w:rPr>
                <w:rFonts w:eastAsia="楷体_GB2312"/>
                <w:szCs w:val="21"/>
              </w:rPr>
              <w:t>2356</w:t>
            </w:r>
          </w:p>
        </w:tc>
        <w:tc>
          <w:tcPr>
            <w:tcW w:w="850" w:type="dxa"/>
          </w:tcPr>
          <w:p w14:paraId="2C56491E" w14:textId="77777777" w:rsidR="00000000" w:rsidRDefault="00243083">
            <w:pPr>
              <w:rPr>
                <w:rFonts w:eastAsia="楷体_GB2312"/>
                <w:szCs w:val="21"/>
              </w:rPr>
            </w:pPr>
          </w:p>
        </w:tc>
      </w:tr>
      <w:tr w:rsidR="00000000" w14:paraId="3E25891C" w14:textId="77777777">
        <w:tc>
          <w:tcPr>
            <w:tcW w:w="992" w:type="dxa"/>
          </w:tcPr>
          <w:p w14:paraId="7DABF305" w14:textId="77777777" w:rsidR="00000000" w:rsidRDefault="00243083">
            <w:pPr>
              <w:rPr>
                <w:rFonts w:eastAsia="楷体_GB2312"/>
                <w:szCs w:val="21"/>
              </w:rPr>
            </w:pPr>
            <w:r>
              <w:rPr>
                <w:rFonts w:eastAsia="楷体_GB2312"/>
                <w:szCs w:val="21"/>
              </w:rPr>
              <w:t>09-5-7</w:t>
            </w:r>
          </w:p>
        </w:tc>
        <w:tc>
          <w:tcPr>
            <w:tcW w:w="4535" w:type="dxa"/>
          </w:tcPr>
          <w:p w14:paraId="4896FC14" w14:textId="77777777" w:rsidR="00000000" w:rsidRDefault="00243083">
            <w:pPr>
              <w:rPr>
                <w:rFonts w:eastAsia="楷体_GB2312"/>
                <w:szCs w:val="21"/>
              </w:rPr>
            </w:pPr>
            <w:r>
              <w:rPr>
                <w:rFonts w:eastAsia="楷体_GB2312"/>
                <w:szCs w:val="21"/>
              </w:rPr>
              <w:t>“5.4</w:t>
            </w:r>
            <w:r>
              <w:rPr>
                <w:rFonts w:eastAsia="楷体_GB2312"/>
                <w:szCs w:val="21"/>
              </w:rPr>
              <w:t>报告期末按公允价值占基金资产净值比例</w:t>
            </w:r>
            <w:r>
              <w:rPr>
                <w:rFonts w:eastAsia="楷体_GB2312"/>
                <w:szCs w:val="21"/>
              </w:rPr>
              <w:lastRenderedPageBreak/>
              <w:t>大小排序的前十名股票及存托凭证投资明细</w:t>
            </w:r>
            <w:r>
              <w:rPr>
                <w:rFonts w:eastAsia="楷体_GB2312"/>
                <w:szCs w:val="21"/>
              </w:rPr>
              <w:t>”</w:t>
            </w:r>
            <w:r>
              <w:rPr>
                <w:rFonts w:eastAsia="楷体_GB2312"/>
                <w:szCs w:val="21"/>
              </w:rPr>
              <w:t>中</w:t>
            </w:r>
            <w:r>
              <w:rPr>
                <w:rFonts w:eastAsia="楷体_GB2312"/>
                <w:szCs w:val="21"/>
              </w:rPr>
              <w:t>“</w:t>
            </w:r>
            <w:r>
              <w:rPr>
                <w:rFonts w:eastAsia="楷体_GB2312"/>
                <w:szCs w:val="21"/>
              </w:rPr>
              <w:t>占基金资产净值比例（％）</w:t>
            </w:r>
            <w:r>
              <w:rPr>
                <w:rFonts w:eastAsia="楷体_GB2312"/>
                <w:szCs w:val="21"/>
              </w:rPr>
              <w:t>”</w:t>
            </w:r>
          </w:p>
        </w:tc>
        <w:tc>
          <w:tcPr>
            <w:tcW w:w="963" w:type="dxa"/>
          </w:tcPr>
          <w:p w14:paraId="63516F71" w14:textId="77777777" w:rsidR="00000000" w:rsidRDefault="00243083">
            <w:pPr>
              <w:rPr>
                <w:rFonts w:eastAsia="楷体_GB2312"/>
                <w:szCs w:val="21"/>
              </w:rPr>
            </w:pPr>
            <w:r>
              <w:rPr>
                <w:rFonts w:eastAsia="楷体_GB2312"/>
                <w:szCs w:val="21"/>
              </w:rPr>
              <w:lastRenderedPageBreak/>
              <w:t>1384</w:t>
            </w:r>
          </w:p>
        </w:tc>
        <w:tc>
          <w:tcPr>
            <w:tcW w:w="1985" w:type="dxa"/>
          </w:tcPr>
          <w:p w14:paraId="462D3CA2" w14:textId="77777777" w:rsidR="00000000" w:rsidRDefault="00243083">
            <w:pPr>
              <w:rPr>
                <w:rFonts w:eastAsia="楷体_GB2312"/>
                <w:szCs w:val="21"/>
              </w:rPr>
            </w:pPr>
            <w:r>
              <w:rPr>
                <w:rFonts w:eastAsia="楷体_GB2312"/>
                <w:szCs w:val="21"/>
              </w:rPr>
              <w:t>2357</w:t>
            </w:r>
          </w:p>
        </w:tc>
        <w:tc>
          <w:tcPr>
            <w:tcW w:w="850" w:type="dxa"/>
          </w:tcPr>
          <w:p w14:paraId="507BF2FC" w14:textId="77777777" w:rsidR="00000000" w:rsidRDefault="00243083">
            <w:pPr>
              <w:rPr>
                <w:rFonts w:eastAsia="楷体_GB2312"/>
                <w:szCs w:val="21"/>
              </w:rPr>
            </w:pPr>
          </w:p>
        </w:tc>
      </w:tr>
      <w:tr w:rsidR="00000000" w14:paraId="04C9F48B" w14:textId="77777777">
        <w:tc>
          <w:tcPr>
            <w:tcW w:w="992" w:type="dxa"/>
          </w:tcPr>
          <w:p w14:paraId="4109CFAA" w14:textId="77777777" w:rsidR="00000000" w:rsidRDefault="00243083">
            <w:pPr>
              <w:rPr>
                <w:rFonts w:eastAsia="楷体_GB2312"/>
                <w:szCs w:val="21"/>
              </w:rPr>
            </w:pPr>
            <w:r>
              <w:rPr>
                <w:rFonts w:eastAsia="楷体_GB2312"/>
                <w:szCs w:val="21"/>
              </w:rPr>
              <w:t>09-5-7</w:t>
            </w:r>
          </w:p>
        </w:tc>
        <w:tc>
          <w:tcPr>
            <w:tcW w:w="4535" w:type="dxa"/>
          </w:tcPr>
          <w:p w14:paraId="30707417" w14:textId="77777777" w:rsidR="00000000" w:rsidRDefault="00243083">
            <w:pPr>
              <w:rPr>
                <w:rFonts w:eastAsia="楷体_GB2312"/>
                <w:szCs w:val="21"/>
              </w:rPr>
            </w:pPr>
            <w:r>
              <w:rPr>
                <w:rFonts w:eastAsia="楷体_GB2312"/>
                <w:szCs w:val="21"/>
              </w:rPr>
              <w:t>“5.4</w:t>
            </w:r>
            <w:r>
              <w:rPr>
                <w:rFonts w:eastAsia="楷体_GB2312"/>
                <w:szCs w:val="21"/>
              </w:rPr>
              <w:t>报告期末按公允价值占基金资产净值比例大小排序的前十名股票及存托凭证投资明细</w:t>
            </w:r>
            <w:r>
              <w:rPr>
                <w:rFonts w:eastAsia="楷体_GB2312"/>
                <w:szCs w:val="21"/>
              </w:rPr>
              <w:t>”</w:t>
            </w:r>
            <w:r>
              <w:rPr>
                <w:rFonts w:eastAsia="楷体_GB2312"/>
                <w:szCs w:val="21"/>
              </w:rPr>
              <w:t>中</w:t>
            </w:r>
            <w:r>
              <w:rPr>
                <w:rFonts w:eastAsia="楷体_GB2312"/>
                <w:szCs w:val="21"/>
              </w:rPr>
              <w:t>“</w:t>
            </w:r>
            <w:r>
              <w:rPr>
                <w:rFonts w:eastAsia="楷体_GB2312"/>
                <w:szCs w:val="21"/>
              </w:rPr>
              <w:t>备注</w:t>
            </w:r>
            <w:r>
              <w:rPr>
                <w:rFonts w:eastAsia="楷体_GB2312"/>
                <w:szCs w:val="21"/>
              </w:rPr>
              <w:t>”</w:t>
            </w:r>
          </w:p>
        </w:tc>
        <w:tc>
          <w:tcPr>
            <w:tcW w:w="963" w:type="dxa"/>
          </w:tcPr>
          <w:p w14:paraId="65226D32" w14:textId="77777777" w:rsidR="00000000" w:rsidRDefault="00243083">
            <w:pPr>
              <w:rPr>
                <w:rFonts w:eastAsia="楷体_GB2312"/>
                <w:szCs w:val="21"/>
              </w:rPr>
            </w:pPr>
            <w:r>
              <w:rPr>
                <w:rFonts w:eastAsia="楷体_GB2312"/>
                <w:szCs w:val="21"/>
              </w:rPr>
              <w:t>1385</w:t>
            </w:r>
          </w:p>
        </w:tc>
        <w:tc>
          <w:tcPr>
            <w:tcW w:w="1985" w:type="dxa"/>
          </w:tcPr>
          <w:p w14:paraId="74C40502" w14:textId="77777777" w:rsidR="00000000" w:rsidRDefault="00243083">
            <w:pPr>
              <w:rPr>
                <w:rFonts w:eastAsia="楷体_GB2312"/>
                <w:szCs w:val="21"/>
              </w:rPr>
            </w:pPr>
            <w:r>
              <w:rPr>
                <w:rFonts w:eastAsia="楷体_GB2312"/>
                <w:szCs w:val="21"/>
              </w:rPr>
              <w:t>2358</w:t>
            </w:r>
          </w:p>
        </w:tc>
        <w:tc>
          <w:tcPr>
            <w:tcW w:w="850" w:type="dxa"/>
          </w:tcPr>
          <w:p w14:paraId="1F010282" w14:textId="77777777" w:rsidR="00000000" w:rsidRDefault="00243083">
            <w:pPr>
              <w:rPr>
                <w:rFonts w:eastAsia="楷体_GB2312"/>
                <w:szCs w:val="21"/>
              </w:rPr>
            </w:pPr>
          </w:p>
        </w:tc>
      </w:tr>
    </w:tbl>
    <w:p w14:paraId="52B73EA1" w14:textId="77777777" w:rsidR="00000000" w:rsidRDefault="00243083"/>
    <w:p w14:paraId="5AEA80ED" w14:textId="77777777" w:rsidR="00000000" w:rsidRDefault="00243083">
      <w:pPr>
        <w:pStyle w:val="Heading1"/>
        <w:keepLines w:val="0"/>
        <w:numPr>
          <w:ilvl w:val="0"/>
          <w:numId w:val="2"/>
        </w:numPr>
        <w:spacing w:beforeLines="50" w:before="156" w:afterLines="50" w:after="156" w:line="240" w:lineRule="auto"/>
        <w:jc w:val="left"/>
        <w:rPr>
          <w:bCs w:val="0"/>
          <w:kern w:val="2"/>
          <w:sz w:val="32"/>
          <w:szCs w:val="24"/>
        </w:rPr>
      </w:pPr>
      <w:bookmarkStart w:id="9" w:name="_Toc229482153"/>
      <w:bookmarkStart w:id="10" w:name="_Toc337538968"/>
      <w:bookmarkEnd w:id="3"/>
      <w:r>
        <w:rPr>
          <w:bCs w:val="0"/>
          <w:kern w:val="2"/>
          <w:sz w:val="32"/>
          <w:szCs w:val="24"/>
        </w:rPr>
        <w:t>有关货币市场基金</w:t>
      </w:r>
      <w:r>
        <w:rPr>
          <w:bCs w:val="0"/>
          <w:kern w:val="2"/>
          <w:sz w:val="32"/>
          <w:szCs w:val="24"/>
        </w:rPr>
        <w:t>/</w:t>
      </w:r>
      <w:r>
        <w:rPr>
          <w:bCs w:val="0"/>
          <w:kern w:val="2"/>
          <w:sz w:val="32"/>
          <w:szCs w:val="24"/>
        </w:rPr>
        <w:t>短期理财债券型基金投资组合报告</w:t>
      </w:r>
      <w:r>
        <w:rPr>
          <w:bCs w:val="0"/>
          <w:kern w:val="2"/>
          <w:sz w:val="32"/>
          <w:szCs w:val="24"/>
        </w:rPr>
        <w:t>“</w:t>
      </w:r>
      <w:r>
        <w:rPr>
          <w:bCs w:val="0"/>
          <w:kern w:val="2"/>
          <w:sz w:val="32"/>
          <w:szCs w:val="24"/>
        </w:rPr>
        <w:t>报告期内每个工作日偏离度的绝对值的简单平均值</w:t>
      </w:r>
      <w:r>
        <w:rPr>
          <w:bCs w:val="0"/>
          <w:kern w:val="2"/>
          <w:sz w:val="32"/>
          <w:szCs w:val="24"/>
        </w:rPr>
        <w:t>”</w:t>
      </w:r>
      <w:r>
        <w:rPr>
          <w:bCs w:val="0"/>
          <w:kern w:val="2"/>
          <w:sz w:val="32"/>
          <w:szCs w:val="24"/>
        </w:rPr>
        <w:t>的填列</w:t>
      </w:r>
      <w:bookmarkEnd w:id="9"/>
      <w:bookmarkEnd w:id="10"/>
    </w:p>
    <w:p w14:paraId="7160E726" w14:textId="77777777" w:rsidR="00000000" w:rsidRDefault="00243083">
      <w:pPr>
        <w:widowControl/>
        <w:snapToGrid w:val="0"/>
        <w:spacing w:line="360" w:lineRule="auto"/>
        <w:ind w:firstLine="420"/>
        <w:rPr>
          <w:sz w:val="24"/>
        </w:rPr>
      </w:pPr>
      <w:r>
        <w:rPr>
          <w:sz w:val="24"/>
        </w:rPr>
        <w:t>鉴于</w:t>
      </w:r>
      <w:r>
        <w:rPr>
          <w:sz w:val="24"/>
        </w:rPr>
        <w:t>《年报和半年报模板》中相关事项的名称为</w:t>
      </w:r>
      <w:r>
        <w:rPr>
          <w:sz w:val="24"/>
        </w:rPr>
        <w:t>“</w:t>
      </w:r>
      <w:r>
        <w:rPr>
          <w:sz w:val="24"/>
        </w:rPr>
        <w:t>报告期内每个交易日偏离度的绝对值的简单平均值</w:t>
      </w:r>
      <w:r>
        <w:rPr>
          <w:sz w:val="24"/>
        </w:rPr>
        <w:t>”</w:t>
      </w:r>
      <w:r>
        <w:rPr>
          <w:sz w:val="24"/>
        </w:rPr>
        <w:t>，为使年报与季报的计算口径一致，建议参照《年报和半年报模板》要求，在季报中将相关事项名称调整为</w:t>
      </w:r>
      <w:r>
        <w:rPr>
          <w:sz w:val="24"/>
        </w:rPr>
        <w:t>“</w:t>
      </w:r>
      <w:r>
        <w:rPr>
          <w:sz w:val="24"/>
        </w:rPr>
        <w:t>报告期内每个交易日偏离度的绝对值的简单平均值</w:t>
      </w:r>
      <w:r>
        <w:rPr>
          <w:sz w:val="24"/>
        </w:rPr>
        <w:t>”</w:t>
      </w:r>
      <w:r>
        <w:rPr>
          <w:sz w:val="24"/>
        </w:rPr>
        <w:t>。</w:t>
      </w:r>
    </w:p>
    <w:p w14:paraId="2D90A1F4" w14:textId="77777777" w:rsidR="00000000" w:rsidRDefault="00243083">
      <w:pPr>
        <w:widowControl/>
        <w:snapToGrid w:val="0"/>
        <w:spacing w:line="360" w:lineRule="auto"/>
        <w:ind w:firstLine="420"/>
        <w:rPr>
          <w:sz w:val="24"/>
        </w:rPr>
      </w:pPr>
    </w:p>
    <w:p w14:paraId="20A1DEF1" w14:textId="77777777" w:rsidR="00000000" w:rsidRDefault="00243083">
      <w:pPr>
        <w:pStyle w:val="Heading1"/>
        <w:keepLines w:val="0"/>
        <w:numPr>
          <w:ilvl w:val="0"/>
          <w:numId w:val="2"/>
        </w:numPr>
        <w:spacing w:beforeLines="50" w:before="156" w:afterLines="50" w:after="156" w:line="240" w:lineRule="auto"/>
        <w:jc w:val="left"/>
        <w:rPr>
          <w:bCs w:val="0"/>
          <w:kern w:val="2"/>
          <w:sz w:val="32"/>
          <w:szCs w:val="24"/>
        </w:rPr>
      </w:pPr>
      <w:bookmarkStart w:id="11" w:name="_Toc337538970"/>
      <w:r>
        <w:rPr>
          <w:bCs w:val="0"/>
          <w:kern w:val="2"/>
          <w:sz w:val="32"/>
          <w:szCs w:val="24"/>
        </w:rPr>
        <w:t>关于公平交易部分披露事项的变更</w:t>
      </w:r>
      <w:bookmarkEnd w:id="11"/>
    </w:p>
    <w:p w14:paraId="7CF27A18" w14:textId="77777777" w:rsidR="00000000" w:rsidRDefault="00243083">
      <w:pPr>
        <w:rPr>
          <w:b/>
          <w:sz w:val="30"/>
        </w:rPr>
      </w:pPr>
      <w:r>
        <w:rPr>
          <w:b/>
          <w:sz w:val="30"/>
        </w:rPr>
        <w:t>非货币市场基金</w:t>
      </w:r>
      <w:r>
        <w:rPr>
          <w:b/>
          <w:sz w:val="30"/>
        </w:rPr>
        <w:t>\</w:t>
      </w:r>
      <w:r>
        <w:rPr>
          <w:b/>
          <w:sz w:val="30"/>
        </w:rPr>
        <w:t>货币市场基金</w:t>
      </w:r>
      <w:r>
        <w:rPr>
          <w:b/>
          <w:sz w:val="30"/>
        </w:rPr>
        <w:t>\</w:t>
      </w:r>
      <w:r>
        <w:rPr>
          <w:b/>
          <w:sz w:val="30"/>
        </w:rPr>
        <w:t>短期理财债券型基金季度报告</w:t>
      </w:r>
      <w:r>
        <w:rPr>
          <w:b/>
          <w:sz w:val="30"/>
        </w:rPr>
        <w:t>,</w:t>
      </w:r>
      <w:r>
        <w:rPr>
          <w:b/>
          <w:sz w:val="30"/>
        </w:rPr>
        <w:t>公平交易部分变为</w:t>
      </w:r>
    </w:p>
    <w:p w14:paraId="7D42F3E9" w14:textId="77777777" w:rsidR="00000000" w:rsidRDefault="00243083">
      <w:pPr>
        <w:adjustRightInd w:val="0"/>
        <w:snapToGrid w:val="0"/>
        <w:spacing w:line="400" w:lineRule="exact"/>
        <w:ind w:firstLineChars="200" w:firstLine="482"/>
        <w:rPr>
          <w:b/>
          <w:bCs/>
          <w:color w:val="000000"/>
          <w:sz w:val="24"/>
        </w:rPr>
      </w:pPr>
      <w:r>
        <w:rPr>
          <w:b/>
          <w:bCs/>
          <w:color w:val="000000"/>
          <w:sz w:val="24"/>
        </w:rPr>
        <w:t xml:space="preserve">4.3 </w:t>
      </w:r>
      <w:r>
        <w:rPr>
          <w:b/>
          <w:bCs/>
          <w:color w:val="000000"/>
          <w:sz w:val="24"/>
        </w:rPr>
        <w:t>公平交易专项说明</w:t>
      </w:r>
    </w:p>
    <w:p w14:paraId="0C9421F7" w14:textId="77777777" w:rsidR="00000000" w:rsidRDefault="00243083">
      <w:pPr>
        <w:adjustRightInd w:val="0"/>
        <w:snapToGrid w:val="0"/>
        <w:spacing w:line="400" w:lineRule="exact"/>
        <w:ind w:firstLineChars="200" w:firstLine="480"/>
        <w:rPr>
          <w:color w:val="000000"/>
          <w:sz w:val="24"/>
        </w:rPr>
      </w:pPr>
      <w:r>
        <w:rPr>
          <w:color w:val="000000"/>
          <w:sz w:val="24"/>
        </w:rPr>
        <w:t xml:space="preserve">4.3.1 </w:t>
      </w:r>
      <w:r>
        <w:rPr>
          <w:color w:val="000000"/>
          <w:sz w:val="24"/>
        </w:rPr>
        <w:t>公平交易制度的执行情况</w:t>
      </w:r>
    </w:p>
    <w:p w14:paraId="29E7BEFF" w14:textId="77777777" w:rsidR="00000000" w:rsidRDefault="00243083">
      <w:pPr>
        <w:adjustRightInd w:val="0"/>
        <w:snapToGrid w:val="0"/>
        <w:spacing w:line="460" w:lineRule="exact"/>
        <w:ind w:firstLineChars="200" w:firstLine="360"/>
        <w:rPr>
          <w:color w:val="0000FF"/>
          <w:kern w:val="0"/>
          <w:sz w:val="18"/>
        </w:rPr>
      </w:pPr>
      <w:r>
        <w:rPr>
          <w:color w:val="0000FF"/>
          <w:kern w:val="0"/>
          <w:sz w:val="18"/>
        </w:rPr>
        <w:t>（</w:t>
      </w:r>
      <w:r>
        <w:rPr>
          <w:color w:val="0000FF"/>
          <w:kern w:val="0"/>
          <w:sz w:val="18"/>
        </w:rPr>
        <w:t>0570</w:t>
      </w:r>
      <w:r>
        <w:rPr>
          <w:color w:val="0000FF"/>
          <w:kern w:val="0"/>
          <w:sz w:val="18"/>
        </w:rPr>
        <w:t>）</w:t>
      </w:r>
    </w:p>
    <w:p w14:paraId="3A97144E" w14:textId="77777777" w:rsidR="00000000" w:rsidRDefault="00243083">
      <w:pPr>
        <w:adjustRightInd w:val="0"/>
        <w:snapToGrid w:val="0"/>
        <w:spacing w:line="400" w:lineRule="exact"/>
        <w:ind w:firstLineChars="200" w:firstLine="480"/>
        <w:rPr>
          <w:color w:val="000000"/>
          <w:sz w:val="24"/>
        </w:rPr>
      </w:pPr>
      <w:r>
        <w:rPr>
          <w:color w:val="000000"/>
          <w:sz w:val="24"/>
        </w:rPr>
        <w:t xml:space="preserve">4.3.2 </w:t>
      </w:r>
      <w:r>
        <w:rPr>
          <w:color w:val="000000"/>
          <w:sz w:val="24"/>
        </w:rPr>
        <w:t>异常交易行为的专项说明</w:t>
      </w:r>
      <w:r>
        <w:rPr>
          <w:rStyle w:val="FootnoteReference"/>
          <w:color w:val="000000"/>
          <w:sz w:val="24"/>
        </w:rPr>
        <w:footnoteReference w:id="1"/>
      </w:r>
    </w:p>
    <w:p w14:paraId="50F2BBBE" w14:textId="77777777" w:rsidR="00000000" w:rsidRDefault="00243083">
      <w:pPr>
        <w:adjustRightInd w:val="0"/>
        <w:snapToGrid w:val="0"/>
        <w:spacing w:line="460" w:lineRule="exact"/>
        <w:ind w:firstLineChars="200" w:firstLine="360"/>
        <w:rPr>
          <w:color w:val="0000FF"/>
          <w:kern w:val="0"/>
          <w:sz w:val="18"/>
        </w:rPr>
      </w:pPr>
      <w:r>
        <w:rPr>
          <w:color w:val="0000FF"/>
          <w:kern w:val="0"/>
          <w:sz w:val="18"/>
        </w:rPr>
        <w:t>（</w:t>
      </w:r>
      <w:r>
        <w:rPr>
          <w:color w:val="0000FF"/>
          <w:kern w:val="0"/>
          <w:sz w:val="18"/>
        </w:rPr>
        <w:t>0578</w:t>
      </w:r>
      <w:r>
        <w:rPr>
          <w:color w:val="0000FF"/>
          <w:kern w:val="0"/>
          <w:sz w:val="18"/>
        </w:rPr>
        <w:t>）</w:t>
      </w:r>
    </w:p>
    <w:p w14:paraId="0B1945D6" w14:textId="77777777" w:rsidR="00000000" w:rsidRDefault="00243083">
      <w:pPr>
        <w:rPr>
          <w:b/>
          <w:sz w:val="30"/>
        </w:rPr>
      </w:pPr>
      <w:r>
        <w:rPr>
          <w:b/>
          <w:sz w:val="30"/>
        </w:rPr>
        <w:t>QDII</w:t>
      </w:r>
      <w:r>
        <w:rPr>
          <w:b/>
          <w:sz w:val="30"/>
        </w:rPr>
        <w:t>基金季度报告</w:t>
      </w:r>
      <w:r>
        <w:rPr>
          <w:b/>
          <w:sz w:val="30"/>
        </w:rPr>
        <w:t>,</w:t>
      </w:r>
      <w:r>
        <w:rPr>
          <w:b/>
          <w:sz w:val="30"/>
        </w:rPr>
        <w:t>公平交易部分变为</w:t>
      </w:r>
    </w:p>
    <w:p w14:paraId="6398E61A" w14:textId="77777777" w:rsidR="00000000" w:rsidRDefault="00243083">
      <w:pPr>
        <w:adjustRightInd w:val="0"/>
        <w:snapToGrid w:val="0"/>
        <w:spacing w:line="400" w:lineRule="exact"/>
        <w:ind w:firstLineChars="200" w:firstLine="482"/>
        <w:rPr>
          <w:b/>
          <w:bCs/>
          <w:color w:val="000000"/>
          <w:sz w:val="24"/>
        </w:rPr>
      </w:pPr>
      <w:r>
        <w:rPr>
          <w:b/>
          <w:bCs/>
          <w:color w:val="000000"/>
          <w:sz w:val="24"/>
        </w:rPr>
        <w:t>4</w:t>
      </w:r>
      <w:r>
        <w:rPr>
          <w:b/>
          <w:bCs/>
          <w:color w:val="000000"/>
          <w:sz w:val="24"/>
        </w:rPr>
        <w:t xml:space="preserve">.4 </w:t>
      </w:r>
      <w:r>
        <w:rPr>
          <w:b/>
          <w:bCs/>
          <w:color w:val="000000"/>
          <w:sz w:val="24"/>
        </w:rPr>
        <w:t>公平交易专项说明</w:t>
      </w:r>
    </w:p>
    <w:p w14:paraId="7BC05898" w14:textId="77777777" w:rsidR="00000000" w:rsidRDefault="00243083">
      <w:pPr>
        <w:adjustRightInd w:val="0"/>
        <w:snapToGrid w:val="0"/>
        <w:spacing w:line="400" w:lineRule="exact"/>
        <w:ind w:firstLineChars="200" w:firstLine="482"/>
        <w:rPr>
          <w:color w:val="000000"/>
          <w:sz w:val="24"/>
        </w:rPr>
      </w:pPr>
      <w:r>
        <w:rPr>
          <w:b/>
          <w:bCs/>
          <w:color w:val="000000"/>
          <w:sz w:val="24"/>
        </w:rPr>
        <w:t>4.4.</w:t>
      </w:r>
      <w:r>
        <w:rPr>
          <w:color w:val="000000"/>
          <w:sz w:val="24"/>
        </w:rPr>
        <w:t xml:space="preserve">1 </w:t>
      </w:r>
      <w:r>
        <w:rPr>
          <w:color w:val="000000"/>
          <w:sz w:val="24"/>
        </w:rPr>
        <w:t>公平交易制度的执行情况</w:t>
      </w:r>
    </w:p>
    <w:p w14:paraId="1D13C7AA" w14:textId="77777777" w:rsidR="00000000" w:rsidRDefault="00243083">
      <w:pPr>
        <w:adjustRightInd w:val="0"/>
        <w:snapToGrid w:val="0"/>
        <w:spacing w:line="460" w:lineRule="exact"/>
        <w:ind w:firstLineChars="200" w:firstLine="360"/>
        <w:rPr>
          <w:color w:val="0000FF"/>
          <w:kern w:val="0"/>
          <w:sz w:val="18"/>
        </w:rPr>
      </w:pPr>
      <w:r>
        <w:rPr>
          <w:color w:val="0000FF"/>
          <w:kern w:val="0"/>
          <w:sz w:val="18"/>
        </w:rPr>
        <w:t>（</w:t>
      </w:r>
      <w:r>
        <w:rPr>
          <w:color w:val="0000FF"/>
          <w:kern w:val="0"/>
          <w:sz w:val="18"/>
        </w:rPr>
        <w:t>0570</w:t>
      </w:r>
      <w:r>
        <w:rPr>
          <w:color w:val="0000FF"/>
          <w:kern w:val="0"/>
          <w:sz w:val="18"/>
        </w:rPr>
        <w:t>）</w:t>
      </w:r>
    </w:p>
    <w:p w14:paraId="1ADF95C2" w14:textId="77777777" w:rsidR="00000000" w:rsidRDefault="00243083">
      <w:pPr>
        <w:adjustRightInd w:val="0"/>
        <w:snapToGrid w:val="0"/>
        <w:spacing w:line="400" w:lineRule="exact"/>
        <w:ind w:firstLineChars="200" w:firstLine="482"/>
        <w:rPr>
          <w:color w:val="000000"/>
          <w:sz w:val="24"/>
        </w:rPr>
      </w:pPr>
      <w:r>
        <w:rPr>
          <w:b/>
          <w:bCs/>
          <w:color w:val="000000"/>
          <w:sz w:val="24"/>
        </w:rPr>
        <w:t>4.4.</w:t>
      </w:r>
      <w:r>
        <w:rPr>
          <w:color w:val="000000"/>
          <w:sz w:val="24"/>
        </w:rPr>
        <w:t>2</w:t>
      </w:r>
      <w:r>
        <w:rPr>
          <w:color w:val="000000"/>
          <w:sz w:val="24"/>
        </w:rPr>
        <w:t>异常交易行为的专项说明</w:t>
      </w:r>
      <w:r>
        <w:rPr>
          <w:rStyle w:val="FootnoteReference"/>
          <w:color w:val="000000"/>
          <w:sz w:val="24"/>
        </w:rPr>
        <w:footnoteReference w:id="2"/>
      </w:r>
    </w:p>
    <w:p w14:paraId="0E80F485" w14:textId="77777777" w:rsidR="00000000" w:rsidRDefault="00243083">
      <w:pPr>
        <w:adjustRightInd w:val="0"/>
        <w:snapToGrid w:val="0"/>
        <w:spacing w:line="460" w:lineRule="exact"/>
        <w:ind w:firstLineChars="200" w:firstLine="360"/>
        <w:rPr>
          <w:color w:val="0000FF"/>
          <w:kern w:val="0"/>
          <w:sz w:val="18"/>
        </w:rPr>
      </w:pPr>
      <w:r>
        <w:rPr>
          <w:color w:val="0000FF"/>
          <w:kern w:val="0"/>
          <w:sz w:val="18"/>
        </w:rPr>
        <w:t>（</w:t>
      </w:r>
      <w:r>
        <w:rPr>
          <w:color w:val="0000FF"/>
          <w:kern w:val="0"/>
          <w:sz w:val="18"/>
        </w:rPr>
        <w:t>0578</w:t>
      </w:r>
      <w:r>
        <w:rPr>
          <w:color w:val="0000FF"/>
          <w:kern w:val="0"/>
          <w:sz w:val="18"/>
        </w:rPr>
        <w:t>）</w:t>
      </w:r>
    </w:p>
    <w:p w14:paraId="043138E9" w14:textId="77777777" w:rsidR="00000000" w:rsidRDefault="00243083">
      <w:pPr>
        <w:pStyle w:val="Heading1"/>
      </w:pPr>
      <w:bookmarkStart w:id="12" w:name="_Toc337538971"/>
      <w:r>
        <w:rPr>
          <w:rFonts w:hint="eastAsia"/>
        </w:rPr>
        <w:lastRenderedPageBreak/>
        <w:t>8</w:t>
      </w:r>
      <w:r>
        <w:t xml:space="preserve">  </w:t>
      </w:r>
      <w:r>
        <w:t>关于短期理财债券型基金填报方法的说明</w:t>
      </w:r>
      <w:bookmarkEnd w:id="12"/>
    </w:p>
    <w:p w14:paraId="6F60E4A9" w14:textId="77777777" w:rsidR="00243083" w:rsidRDefault="00243083">
      <w:pPr>
        <w:ind w:firstLineChars="200" w:firstLine="480"/>
        <w:rPr>
          <w:rStyle w:val="CODE"/>
          <w:rFonts w:ascii="Times New Roman" w:hAnsi="Times New Roman"/>
          <w:color w:val="000080"/>
          <w:spacing w:val="0"/>
          <w:sz w:val="24"/>
        </w:rPr>
      </w:pPr>
      <w:r>
        <w:rPr>
          <w:sz w:val="24"/>
        </w:rPr>
        <w:t>在增加短期理财债券型基金的定期报告业务模板前，短期理财债券型基金暂时采用开放式货币基金的季报业务模板和技术指引填报，校验规则等参考货币型基金。</w:t>
      </w:r>
    </w:p>
    <w:sectPr w:rsidR="00243083">
      <w:headerReference w:type="default" r:id="rId7"/>
      <w:footerReference w:type="default" r:id="rId8"/>
      <w:pgSz w:w="11906" w:h="16838"/>
      <w:pgMar w:top="1272" w:right="1106" w:bottom="1090" w:left="1080" w:header="935" w:footer="72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A0836" w14:textId="77777777" w:rsidR="00243083" w:rsidRDefault="00243083">
      <w:r>
        <w:separator/>
      </w:r>
    </w:p>
  </w:endnote>
  <w:endnote w:type="continuationSeparator" w:id="0">
    <w:p w14:paraId="7C310F2D" w14:textId="77777777" w:rsidR="00243083" w:rsidRDefault="00243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Arial,Courier,宋体">
    <w:altName w:val="宋体"/>
    <w:charset w:val="86"/>
    <w:family w:val="roman"/>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仿宋_GB2312">
    <w:charset w:val="86"/>
    <w:family w:val="modern"/>
    <w:pitch w:val="default"/>
    <w:sig w:usb0="00000001" w:usb1="080E0000" w:usb2="00000000" w:usb3="00000000" w:csb0="00040000" w:csb1="00000000"/>
  </w:font>
  <w:font w:name="Arial Unicode MS">
    <w:panose1 w:val="020B0604020202020204"/>
    <w:charset w:val="00"/>
    <w:family w:val="roman"/>
    <w:pitch w:val="variable"/>
    <w:sig w:usb0="00000003" w:usb1="00000000" w:usb2="00000000" w:usb3="00000000" w:csb0="00000001" w:csb1="00000000"/>
  </w:font>
  <w:font w:name="B 2Stone Sans Bold">
    <w:altName w:val="Times New Roman"/>
    <w:charset w:val="00"/>
    <w:family w:val="auto"/>
    <w:pitch w:val="default"/>
    <w:sig w:usb0="00000003" w:usb1="00000000" w:usb2="00000000" w:usb3="00000000" w:csb0="00000001" w:csb1="00000000"/>
  </w:font>
  <w:font w:name="楷体_GB2312">
    <w:altName w:val="楷体"/>
    <w:charset w:val="86"/>
    <w:family w:val="modern"/>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071B" w14:textId="77777777" w:rsidR="00000000" w:rsidRDefault="00243083">
    <w:pPr>
      <w:pStyle w:val="Footer"/>
      <w:jc w:val="right"/>
    </w:pPr>
    <w:r>
      <w:rPr>
        <w:rFonts w:ascii="Arial" w:hAnsi="Arial" w:hint="eastAsia"/>
      </w:rPr>
      <w:t>中国证券投资者保护基金有限责任公司</w:t>
    </w:r>
    <w:r>
      <w:rPr>
        <w:rFonts w:ascii="Arial" w:hAnsi="Arial" w:hint="eastAsia"/>
      </w:rPr>
      <w:t xml:space="preserve">               </w:t>
    </w:r>
    <w:r>
      <w:rPr>
        <w:rFonts w:ascii="Arial" w:hAnsi="Arial" w:hint="eastAsia"/>
      </w:rPr>
      <w:t xml:space="preserve">                                           </w:t>
    </w:r>
    <w:r>
      <w:rPr>
        <w:rFonts w:ascii="Arial" w:hAnsi="Arial" w:hint="eastAsia"/>
      </w:rPr>
      <w:t>第</w:t>
    </w:r>
    <w:r>
      <w:fldChar w:fldCharType="begin"/>
    </w:r>
    <w:r>
      <w:rPr>
        <w:rStyle w:val="PageNumber"/>
      </w:rPr>
      <w:instrText xml:space="preserve"> PAGE </w:instrText>
    </w:r>
    <w:r>
      <w:fldChar w:fldCharType="separate"/>
    </w:r>
    <w:r>
      <w:rPr>
        <w:rStyle w:val="PageNumber"/>
        <w:lang w:eastAsia="zh-CN"/>
      </w:rPr>
      <w:t>7</w:t>
    </w:r>
    <w:r>
      <w:fldChar w:fldCharType="end"/>
    </w:r>
    <w:r>
      <w:rPr>
        <w:rStyle w:val="PageNumber"/>
        <w:rFonts w:hint="eastAsia"/>
      </w:rPr>
      <w:t>页，共</w:t>
    </w:r>
    <w:r>
      <w:fldChar w:fldCharType="begin"/>
    </w:r>
    <w:r>
      <w:rPr>
        <w:rStyle w:val="PageNumber"/>
      </w:rPr>
      <w:instrText xml:space="preserve"> NUMPAGES </w:instrText>
    </w:r>
    <w:r>
      <w:fldChar w:fldCharType="separate"/>
    </w:r>
    <w:r>
      <w:rPr>
        <w:rStyle w:val="PageNumber"/>
        <w:lang w:eastAsia="zh-CN"/>
      </w:rPr>
      <w:t>8</w:t>
    </w:r>
    <w:r>
      <w:fldChar w:fldCharType="end"/>
    </w:r>
    <w:r>
      <w:rPr>
        <w:rStyle w:val="PageNumbe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EC194" w14:textId="77777777" w:rsidR="00243083" w:rsidRDefault="00243083">
      <w:r>
        <w:separator/>
      </w:r>
    </w:p>
  </w:footnote>
  <w:footnote w:type="continuationSeparator" w:id="0">
    <w:p w14:paraId="582AB750" w14:textId="77777777" w:rsidR="00243083" w:rsidRDefault="00243083">
      <w:r>
        <w:continuationSeparator/>
      </w:r>
    </w:p>
  </w:footnote>
  <w:footnote w:id="1">
    <w:p w14:paraId="387CA819" w14:textId="77777777" w:rsidR="00000000" w:rsidRDefault="00243083">
      <w:pPr>
        <w:pStyle w:val="FootnoteText"/>
      </w:pPr>
      <w:r>
        <w:rPr>
          <w:rStyle w:val="FootnoteReference"/>
        </w:rPr>
        <w:footnoteRef/>
      </w:r>
      <w:r>
        <w:rPr>
          <w:rFonts w:hint="eastAsia"/>
        </w:rPr>
        <w:t>如报告期内不存在</w:t>
      </w:r>
      <w:r>
        <w:t>异常交易行为</w:t>
      </w:r>
      <w:r>
        <w:rPr>
          <w:rFonts w:hint="eastAsia"/>
        </w:rPr>
        <w:t>，也应作相关声明。</w:t>
      </w:r>
    </w:p>
  </w:footnote>
  <w:footnote w:id="2">
    <w:p w14:paraId="21498F8A" w14:textId="77777777" w:rsidR="00000000" w:rsidRDefault="00243083">
      <w:pPr>
        <w:pStyle w:val="FootnoteText"/>
      </w:pPr>
      <w:r>
        <w:rPr>
          <w:rStyle w:val="FootnoteReference"/>
        </w:rPr>
        <w:footnoteRef/>
      </w:r>
      <w:r>
        <w:rPr>
          <w:rFonts w:hint="eastAsia"/>
        </w:rPr>
        <w:t>如报告期内不存在</w:t>
      </w:r>
      <w:r>
        <w:t>异常交易行为</w:t>
      </w:r>
      <w:r>
        <w:rPr>
          <w:rFonts w:hint="eastAsia"/>
        </w:rPr>
        <w:t>，也应作相关声明。</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53C1E" w14:textId="77777777" w:rsidR="00000000" w:rsidRDefault="00243083">
    <w:pPr>
      <w:pStyle w:val="Header"/>
      <w:ind w:firstLineChars="49" w:firstLine="103"/>
      <w:rPr>
        <w:rFonts w:ascii="Arial" w:hAnsi="Arial" w:hint="eastAsia"/>
        <w:b/>
        <w:sz w:val="32"/>
        <w:szCs w:val="32"/>
        <w:lang w:eastAsia="zh-CN"/>
      </w:rPr>
    </w:pPr>
    <w:r>
      <w:rPr>
        <w:rFonts w:ascii="Arial" w:hAnsi="Arial" w:hint="eastAsia"/>
        <w:b/>
        <w:sz w:val="21"/>
        <w:szCs w:val="21"/>
        <w:lang w:eastAsia="zh-CN"/>
      </w:rPr>
      <w:t>中国证监会电子化信息披露</w:t>
    </w:r>
  </w:p>
  <w:p w14:paraId="16203AD8" w14:textId="6EFEB79E" w:rsidR="00000000" w:rsidRDefault="00536BFB">
    <w:pPr>
      <w:pStyle w:val="Header"/>
      <w:rPr>
        <w:lang w:eastAsia="zh-CN"/>
      </w:rPr>
    </w:pPr>
    <w:r>
      <w:rPr>
        <w:noProof/>
        <w:sz w:val="20"/>
        <w:lang w:eastAsia="zh-CN"/>
      </w:rPr>
      <mc:AlternateContent>
        <mc:Choice Requires="wps">
          <w:drawing>
            <wp:anchor distT="0" distB="0" distL="114300" distR="114300" simplePos="0" relativeHeight="251657728" behindDoc="0" locked="0" layoutInCell="1" allowOverlap="1" wp14:anchorId="79EA9C57" wp14:editId="096E7EAF">
              <wp:simplePos x="0" y="0"/>
              <wp:positionH relativeFrom="column">
                <wp:posOffset>0</wp:posOffset>
              </wp:positionH>
              <wp:positionV relativeFrom="paragraph">
                <wp:posOffset>125730</wp:posOffset>
              </wp:positionV>
              <wp:extent cx="6400800" cy="0"/>
              <wp:effectExtent l="9525" t="11430" r="9525" b="17145"/>
              <wp:wrapNone/>
              <wp:docPr id="1" name="直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3A1B1" id="直线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7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" strokeweight="1.5pt"/>
          </w:pict>
        </mc:Fallback>
      </mc:AlternateContent>
    </w:r>
  </w:p>
  <w:p w14:paraId="6D7E322E" w14:textId="77777777" w:rsidR="00000000" w:rsidRDefault="00243083">
    <w:pPr>
      <w:pStyle w:val="Header"/>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B4C"/>
    <w:multiLevelType w:val="multilevel"/>
    <w:tmpl w:val="09F07B4C"/>
    <w:lvl w:ilvl="0">
      <w:start w:val="1"/>
      <w:numFmt w:val="decimal"/>
      <w:lvlText w:val="%1）"/>
      <w:lvlJc w:val="left"/>
      <w:pPr>
        <w:tabs>
          <w:tab w:val="num" w:pos="1215"/>
        </w:tabs>
        <w:ind w:left="1215" w:hanging="7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B3D3AB3"/>
    <w:multiLevelType w:val="multilevel"/>
    <w:tmpl w:val="1B3D3AB3"/>
    <w:lvl w:ilvl="0">
      <w:start w:val="3"/>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719112F8"/>
    <w:multiLevelType w:val="multilevel"/>
    <w:tmpl w:val="719112F8"/>
    <w:lvl w:ilvl="0">
      <w:start w:val="1"/>
      <w:numFmt w:val="decimal"/>
      <w:lvlText w:val="%1）"/>
      <w:lvlJc w:val="left"/>
      <w:pPr>
        <w:tabs>
          <w:tab w:val="num" w:pos="1215"/>
        </w:tabs>
        <w:ind w:left="1215" w:hanging="7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9E06299"/>
    <w:multiLevelType w:val="multilevel"/>
    <w:tmpl w:val="79E06299"/>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79"/>
    <w:rsid w:val="0001577B"/>
    <w:rsid w:val="000202DC"/>
    <w:rsid w:val="00020D1C"/>
    <w:rsid w:val="000220D1"/>
    <w:rsid w:val="00023F10"/>
    <w:rsid w:val="00036ECB"/>
    <w:rsid w:val="00046886"/>
    <w:rsid w:val="0005065E"/>
    <w:rsid w:val="00055035"/>
    <w:rsid w:val="00055A1C"/>
    <w:rsid w:val="000566CC"/>
    <w:rsid w:val="0005708F"/>
    <w:rsid w:val="000579E3"/>
    <w:rsid w:val="00062BDC"/>
    <w:rsid w:val="00064F4C"/>
    <w:rsid w:val="00066E53"/>
    <w:rsid w:val="00072218"/>
    <w:rsid w:val="0008243D"/>
    <w:rsid w:val="00087C79"/>
    <w:rsid w:val="0009063B"/>
    <w:rsid w:val="00091D67"/>
    <w:rsid w:val="00092C59"/>
    <w:rsid w:val="000934B0"/>
    <w:rsid w:val="00094A47"/>
    <w:rsid w:val="00096446"/>
    <w:rsid w:val="00097118"/>
    <w:rsid w:val="00097B2C"/>
    <w:rsid w:val="000B0EDE"/>
    <w:rsid w:val="000B6B96"/>
    <w:rsid w:val="000C7407"/>
    <w:rsid w:val="000D5D6D"/>
    <w:rsid w:val="000E4C15"/>
    <w:rsid w:val="000E5C43"/>
    <w:rsid w:val="001038B8"/>
    <w:rsid w:val="00107B6B"/>
    <w:rsid w:val="0011274D"/>
    <w:rsid w:val="001129EF"/>
    <w:rsid w:val="00120673"/>
    <w:rsid w:val="001241FE"/>
    <w:rsid w:val="001258AE"/>
    <w:rsid w:val="00130819"/>
    <w:rsid w:val="0013208E"/>
    <w:rsid w:val="0013344A"/>
    <w:rsid w:val="00133A8E"/>
    <w:rsid w:val="00134156"/>
    <w:rsid w:val="001422C8"/>
    <w:rsid w:val="001434CD"/>
    <w:rsid w:val="00144898"/>
    <w:rsid w:val="001474E7"/>
    <w:rsid w:val="00150364"/>
    <w:rsid w:val="00150C10"/>
    <w:rsid w:val="00151AD2"/>
    <w:rsid w:val="00151BDA"/>
    <w:rsid w:val="00154405"/>
    <w:rsid w:val="001546F7"/>
    <w:rsid w:val="00154EDE"/>
    <w:rsid w:val="00155241"/>
    <w:rsid w:val="001565DE"/>
    <w:rsid w:val="00156F53"/>
    <w:rsid w:val="0015732F"/>
    <w:rsid w:val="001573BA"/>
    <w:rsid w:val="00162C0C"/>
    <w:rsid w:val="00166D37"/>
    <w:rsid w:val="00173A1C"/>
    <w:rsid w:val="00175F7B"/>
    <w:rsid w:val="001850B1"/>
    <w:rsid w:val="001853A7"/>
    <w:rsid w:val="00190E21"/>
    <w:rsid w:val="00195833"/>
    <w:rsid w:val="001965EF"/>
    <w:rsid w:val="001966A2"/>
    <w:rsid w:val="00197DB9"/>
    <w:rsid w:val="001A6C15"/>
    <w:rsid w:val="001A7167"/>
    <w:rsid w:val="001B06B0"/>
    <w:rsid w:val="001B571A"/>
    <w:rsid w:val="001C3937"/>
    <w:rsid w:val="001C6D67"/>
    <w:rsid w:val="001D00E2"/>
    <w:rsid w:val="001D0FDC"/>
    <w:rsid w:val="001D1257"/>
    <w:rsid w:val="001D2819"/>
    <w:rsid w:val="001D2CEC"/>
    <w:rsid w:val="001D586D"/>
    <w:rsid w:val="001D5FF8"/>
    <w:rsid w:val="001D67BC"/>
    <w:rsid w:val="001D70E4"/>
    <w:rsid w:val="001F0957"/>
    <w:rsid w:val="0020189E"/>
    <w:rsid w:val="00204D99"/>
    <w:rsid w:val="00205C5C"/>
    <w:rsid w:val="00206D78"/>
    <w:rsid w:val="00210604"/>
    <w:rsid w:val="00214DE9"/>
    <w:rsid w:val="00216AA0"/>
    <w:rsid w:val="00223E83"/>
    <w:rsid w:val="0023227E"/>
    <w:rsid w:val="002376A3"/>
    <w:rsid w:val="0024209B"/>
    <w:rsid w:val="00243083"/>
    <w:rsid w:val="00251CFB"/>
    <w:rsid w:val="002558A3"/>
    <w:rsid w:val="002653DF"/>
    <w:rsid w:val="00265AD2"/>
    <w:rsid w:val="002729C3"/>
    <w:rsid w:val="00274601"/>
    <w:rsid w:val="00277805"/>
    <w:rsid w:val="0029055F"/>
    <w:rsid w:val="00291912"/>
    <w:rsid w:val="00295E30"/>
    <w:rsid w:val="002B3AFA"/>
    <w:rsid w:val="002B6DB6"/>
    <w:rsid w:val="002C0BB0"/>
    <w:rsid w:val="002C2D66"/>
    <w:rsid w:val="002C4553"/>
    <w:rsid w:val="002C4699"/>
    <w:rsid w:val="002C4B7F"/>
    <w:rsid w:val="002C4BA5"/>
    <w:rsid w:val="002C6970"/>
    <w:rsid w:val="002C7A76"/>
    <w:rsid w:val="002D13D1"/>
    <w:rsid w:val="002D31CF"/>
    <w:rsid w:val="002D58C7"/>
    <w:rsid w:val="002E0CAA"/>
    <w:rsid w:val="002E4039"/>
    <w:rsid w:val="002E4EC4"/>
    <w:rsid w:val="002E6D80"/>
    <w:rsid w:val="002F1423"/>
    <w:rsid w:val="002F35DA"/>
    <w:rsid w:val="003025CF"/>
    <w:rsid w:val="003058FB"/>
    <w:rsid w:val="00307EE8"/>
    <w:rsid w:val="00307F30"/>
    <w:rsid w:val="003113E9"/>
    <w:rsid w:val="00311AD7"/>
    <w:rsid w:val="00312EE2"/>
    <w:rsid w:val="00315901"/>
    <w:rsid w:val="0031746F"/>
    <w:rsid w:val="00317E88"/>
    <w:rsid w:val="00323434"/>
    <w:rsid w:val="00333E00"/>
    <w:rsid w:val="003360D8"/>
    <w:rsid w:val="00337102"/>
    <w:rsid w:val="00340F09"/>
    <w:rsid w:val="00341C6D"/>
    <w:rsid w:val="0034218A"/>
    <w:rsid w:val="00350E97"/>
    <w:rsid w:val="003520EE"/>
    <w:rsid w:val="00352440"/>
    <w:rsid w:val="00354AAA"/>
    <w:rsid w:val="0035702C"/>
    <w:rsid w:val="00362326"/>
    <w:rsid w:val="00363B9A"/>
    <w:rsid w:val="00364466"/>
    <w:rsid w:val="00365E64"/>
    <w:rsid w:val="00371DF5"/>
    <w:rsid w:val="0037221C"/>
    <w:rsid w:val="003800C2"/>
    <w:rsid w:val="0038124F"/>
    <w:rsid w:val="00391935"/>
    <w:rsid w:val="0039251F"/>
    <w:rsid w:val="0039261A"/>
    <w:rsid w:val="00394089"/>
    <w:rsid w:val="00394857"/>
    <w:rsid w:val="00396A30"/>
    <w:rsid w:val="0039754B"/>
    <w:rsid w:val="003A092B"/>
    <w:rsid w:val="003A2132"/>
    <w:rsid w:val="003A2EE4"/>
    <w:rsid w:val="003A5621"/>
    <w:rsid w:val="003A564C"/>
    <w:rsid w:val="003A730A"/>
    <w:rsid w:val="003B1156"/>
    <w:rsid w:val="003B55C5"/>
    <w:rsid w:val="003B6C3A"/>
    <w:rsid w:val="003C0979"/>
    <w:rsid w:val="003C41E3"/>
    <w:rsid w:val="003C6AA0"/>
    <w:rsid w:val="003C6E1C"/>
    <w:rsid w:val="003D093A"/>
    <w:rsid w:val="003D276C"/>
    <w:rsid w:val="003D39CC"/>
    <w:rsid w:val="003D3E84"/>
    <w:rsid w:val="003D4F55"/>
    <w:rsid w:val="003D53F5"/>
    <w:rsid w:val="003E1DFB"/>
    <w:rsid w:val="003E25D8"/>
    <w:rsid w:val="003F5563"/>
    <w:rsid w:val="003F64EB"/>
    <w:rsid w:val="004006DE"/>
    <w:rsid w:val="00400845"/>
    <w:rsid w:val="00414152"/>
    <w:rsid w:val="00417154"/>
    <w:rsid w:val="00421580"/>
    <w:rsid w:val="0043019C"/>
    <w:rsid w:val="00432679"/>
    <w:rsid w:val="004328F3"/>
    <w:rsid w:val="00434738"/>
    <w:rsid w:val="00444BEB"/>
    <w:rsid w:val="00451438"/>
    <w:rsid w:val="004544C7"/>
    <w:rsid w:val="00460F1B"/>
    <w:rsid w:val="0046566F"/>
    <w:rsid w:val="00465721"/>
    <w:rsid w:val="004709C0"/>
    <w:rsid w:val="0047402D"/>
    <w:rsid w:val="004822F3"/>
    <w:rsid w:val="004834C0"/>
    <w:rsid w:val="004841A9"/>
    <w:rsid w:val="00484585"/>
    <w:rsid w:val="004856E0"/>
    <w:rsid w:val="004915D6"/>
    <w:rsid w:val="00494579"/>
    <w:rsid w:val="00496C3F"/>
    <w:rsid w:val="004A2E39"/>
    <w:rsid w:val="004A3A11"/>
    <w:rsid w:val="004A6983"/>
    <w:rsid w:val="004A7F74"/>
    <w:rsid w:val="004B2998"/>
    <w:rsid w:val="004B6646"/>
    <w:rsid w:val="004B6B9E"/>
    <w:rsid w:val="004B6C24"/>
    <w:rsid w:val="004B7528"/>
    <w:rsid w:val="004C23FC"/>
    <w:rsid w:val="004C3254"/>
    <w:rsid w:val="004C3C46"/>
    <w:rsid w:val="004D0928"/>
    <w:rsid w:val="004D2CA2"/>
    <w:rsid w:val="004D4FA1"/>
    <w:rsid w:val="004D78CC"/>
    <w:rsid w:val="004E19CD"/>
    <w:rsid w:val="004E7BDB"/>
    <w:rsid w:val="004F5557"/>
    <w:rsid w:val="00501910"/>
    <w:rsid w:val="00506174"/>
    <w:rsid w:val="0051135E"/>
    <w:rsid w:val="00513554"/>
    <w:rsid w:val="0051760D"/>
    <w:rsid w:val="00517CE0"/>
    <w:rsid w:val="00521E2E"/>
    <w:rsid w:val="00526D74"/>
    <w:rsid w:val="005305E0"/>
    <w:rsid w:val="005307B1"/>
    <w:rsid w:val="005351F3"/>
    <w:rsid w:val="00535351"/>
    <w:rsid w:val="00536BFB"/>
    <w:rsid w:val="00540A95"/>
    <w:rsid w:val="005421FE"/>
    <w:rsid w:val="005445B9"/>
    <w:rsid w:val="00551659"/>
    <w:rsid w:val="00552D1A"/>
    <w:rsid w:val="005532C8"/>
    <w:rsid w:val="0055334E"/>
    <w:rsid w:val="005549AF"/>
    <w:rsid w:val="00556F03"/>
    <w:rsid w:val="00566746"/>
    <w:rsid w:val="00570AD9"/>
    <w:rsid w:val="00582724"/>
    <w:rsid w:val="0058338A"/>
    <w:rsid w:val="00584FC9"/>
    <w:rsid w:val="00585CD1"/>
    <w:rsid w:val="00593EDA"/>
    <w:rsid w:val="00594A40"/>
    <w:rsid w:val="00594CEF"/>
    <w:rsid w:val="005958CC"/>
    <w:rsid w:val="00597EEE"/>
    <w:rsid w:val="005A0C16"/>
    <w:rsid w:val="005A52DE"/>
    <w:rsid w:val="005A6EFD"/>
    <w:rsid w:val="005B0546"/>
    <w:rsid w:val="005B2A24"/>
    <w:rsid w:val="005B68A5"/>
    <w:rsid w:val="005B6D9C"/>
    <w:rsid w:val="005B762F"/>
    <w:rsid w:val="005C25B5"/>
    <w:rsid w:val="005C3661"/>
    <w:rsid w:val="005C6C80"/>
    <w:rsid w:val="005C702D"/>
    <w:rsid w:val="005D5B6F"/>
    <w:rsid w:val="005E1028"/>
    <w:rsid w:val="005E143E"/>
    <w:rsid w:val="005E58D9"/>
    <w:rsid w:val="005E6AB5"/>
    <w:rsid w:val="005F11A5"/>
    <w:rsid w:val="005F1AE1"/>
    <w:rsid w:val="005F6063"/>
    <w:rsid w:val="006000BF"/>
    <w:rsid w:val="00603511"/>
    <w:rsid w:val="00610F78"/>
    <w:rsid w:val="00617546"/>
    <w:rsid w:val="00625FC6"/>
    <w:rsid w:val="006279F9"/>
    <w:rsid w:val="006329EA"/>
    <w:rsid w:val="00633BEA"/>
    <w:rsid w:val="00635766"/>
    <w:rsid w:val="006361C9"/>
    <w:rsid w:val="00642B9C"/>
    <w:rsid w:val="00643088"/>
    <w:rsid w:val="0064654F"/>
    <w:rsid w:val="00650B38"/>
    <w:rsid w:val="0065482E"/>
    <w:rsid w:val="006604EA"/>
    <w:rsid w:val="00660F87"/>
    <w:rsid w:val="00667E8A"/>
    <w:rsid w:val="00671B16"/>
    <w:rsid w:val="00681DBC"/>
    <w:rsid w:val="0069163D"/>
    <w:rsid w:val="00693184"/>
    <w:rsid w:val="006935E2"/>
    <w:rsid w:val="00694342"/>
    <w:rsid w:val="006A2670"/>
    <w:rsid w:val="006A290E"/>
    <w:rsid w:val="006A4A28"/>
    <w:rsid w:val="006A5988"/>
    <w:rsid w:val="006A72C3"/>
    <w:rsid w:val="006B094F"/>
    <w:rsid w:val="006B34E7"/>
    <w:rsid w:val="006B7E8E"/>
    <w:rsid w:val="006C374D"/>
    <w:rsid w:val="006C53EA"/>
    <w:rsid w:val="006C5438"/>
    <w:rsid w:val="006C5FE4"/>
    <w:rsid w:val="006C7766"/>
    <w:rsid w:val="006D6898"/>
    <w:rsid w:val="006E0C42"/>
    <w:rsid w:val="006E110E"/>
    <w:rsid w:val="006E551A"/>
    <w:rsid w:val="006F17E6"/>
    <w:rsid w:val="006F27FE"/>
    <w:rsid w:val="006F6B2E"/>
    <w:rsid w:val="00700E75"/>
    <w:rsid w:val="00701356"/>
    <w:rsid w:val="007026EC"/>
    <w:rsid w:val="00704F17"/>
    <w:rsid w:val="00705128"/>
    <w:rsid w:val="007073D3"/>
    <w:rsid w:val="007101CC"/>
    <w:rsid w:val="00712B53"/>
    <w:rsid w:val="00717383"/>
    <w:rsid w:val="007226E6"/>
    <w:rsid w:val="00725ECC"/>
    <w:rsid w:val="007312E7"/>
    <w:rsid w:val="007323D0"/>
    <w:rsid w:val="00733B08"/>
    <w:rsid w:val="00734655"/>
    <w:rsid w:val="007371D5"/>
    <w:rsid w:val="0073746E"/>
    <w:rsid w:val="0073755C"/>
    <w:rsid w:val="00740A31"/>
    <w:rsid w:val="00741B66"/>
    <w:rsid w:val="00743887"/>
    <w:rsid w:val="00744D1F"/>
    <w:rsid w:val="00745976"/>
    <w:rsid w:val="00745C62"/>
    <w:rsid w:val="00753965"/>
    <w:rsid w:val="00757F82"/>
    <w:rsid w:val="00766320"/>
    <w:rsid w:val="0078058D"/>
    <w:rsid w:val="00797B84"/>
    <w:rsid w:val="007A1D33"/>
    <w:rsid w:val="007A21EB"/>
    <w:rsid w:val="007B3D1E"/>
    <w:rsid w:val="007B4A35"/>
    <w:rsid w:val="007B7C68"/>
    <w:rsid w:val="007C7D49"/>
    <w:rsid w:val="007D13B4"/>
    <w:rsid w:val="007D31C8"/>
    <w:rsid w:val="007D3B0B"/>
    <w:rsid w:val="007D4D06"/>
    <w:rsid w:val="007E16CE"/>
    <w:rsid w:val="007E34A3"/>
    <w:rsid w:val="007E5EEB"/>
    <w:rsid w:val="007F3F44"/>
    <w:rsid w:val="007F7867"/>
    <w:rsid w:val="00800694"/>
    <w:rsid w:val="00812F14"/>
    <w:rsid w:val="00827CFA"/>
    <w:rsid w:val="0083245D"/>
    <w:rsid w:val="00832EAD"/>
    <w:rsid w:val="00834206"/>
    <w:rsid w:val="00834580"/>
    <w:rsid w:val="00836AC8"/>
    <w:rsid w:val="00837338"/>
    <w:rsid w:val="0084063F"/>
    <w:rsid w:val="008421CD"/>
    <w:rsid w:val="008432CA"/>
    <w:rsid w:val="00853BCE"/>
    <w:rsid w:val="00853EF3"/>
    <w:rsid w:val="00854817"/>
    <w:rsid w:val="00861F49"/>
    <w:rsid w:val="00862A39"/>
    <w:rsid w:val="00866E6A"/>
    <w:rsid w:val="008674E7"/>
    <w:rsid w:val="0086796E"/>
    <w:rsid w:val="0087693F"/>
    <w:rsid w:val="00882F1A"/>
    <w:rsid w:val="00885FC4"/>
    <w:rsid w:val="00886003"/>
    <w:rsid w:val="00887977"/>
    <w:rsid w:val="00887ED6"/>
    <w:rsid w:val="00891BD5"/>
    <w:rsid w:val="008938F8"/>
    <w:rsid w:val="00893B36"/>
    <w:rsid w:val="00895CFE"/>
    <w:rsid w:val="00895FF1"/>
    <w:rsid w:val="008966D2"/>
    <w:rsid w:val="008A32B5"/>
    <w:rsid w:val="008A4189"/>
    <w:rsid w:val="008A514A"/>
    <w:rsid w:val="008A7A54"/>
    <w:rsid w:val="008B0437"/>
    <w:rsid w:val="008B608F"/>
    <w:rsid w:val="008B78BF"/>
    <w:rsid w:val="008C0BFA"/>
    <w:rsid w:val="008C33E2"/>
    <w:rsid w:val="008C6CDB"/>
    <w:rsid w:val="008E0D3D"/>
    <w:rsid w:val="008E637D"/>
    <w:rsid w:val="008F4C97"/>
    <w:rsid w:val="008F54EE"/>
    <w:rsid w:val="008F5BEE"/>
    <w:rsid w:val="008F7AA3"/>
    <w:rsid w:val="00917E69"/>
    <w:rsid w:val="00921EAC"/>
    <w:rsid w:val="00922C9C"/>
    <w:rsid w:val="0092410D"/>
    <w:rsid w:val="009274AA"/>
    <w:rsid w:val="0092779F"/>
    <w:rsid w:val="00927D22"/>
    <w:rsid w:val="0093035D"/>
    <w:rsid w:val="00932BCC"/>
    <w:rsid w:val="00937C52"/>
    <w:rsid w:val="00942299"/>
    <w:rsid w:val="009462BA"/>
    <w:rsid w:val="00946FB0"/>
    <w:rsid w:val="00960E43"/>
    <w:rsid w:val="00962880"/>
    <w:rsid w:val="00975236"/>
    <w:rsid w:val="00975F4D"/>
    <w:rsid w:val="00981FF2"/>
    <w:rsid w:val="00982A53"/>
    <w:rsid w:val="00983796"/>
    <w:rsid w:val="009863FC"/>
    <w:rsid w:val="00986B94"/>
    <w:rsid w:val="00995A21"/>
    <w:rsid w:val="00996FA8"/>
    <w:rsid w:val="009A05B3"/>
    <w:rsid w:val="009A546A"/>
    <w:rsid w:val="009B3AC1"/>
    <w:rsid w:val="009B4533"/>
    <w:rsid w:val="009C286A"/>
    <w:rsid w:val="009C6676"/>
    <w:rsid w:val="009D1D7E"/>
    <w:rsid w:val="009D5D42"/>
    <w:rsid w:val="009E09F8"/>
    <w:rsid w:val="009E10E8"/>
    <w:rsid w:val="009E1E17"/>
    <w:rsid w:val="009E32A3"/>
    <w:rsid w:val="009E6208"/>
    <w:rsid w:val="009E7892"/>
    <w:rsid w:val="009F01E6"/>
    <w:rsid w:val="009F4172"/>
    <w:rsid w:val="009F48E1"/>
    <w:rsid w:val="00A00295"/>
    <w:rsid w:val="00A06B82"/>
    <w:rsid w:val="00A13357"/>
    <w:rsid w:val="00A1696D"/>
    <w:rsid w:val="00A20D04"/>
    <w:rsid w:val="00A24B82"/>
    <w:rsid w:val="00A30613"/>
    <w:rsid w:val="00A34825"/>
    <w:rsid w:val="00A35EE0"/>
    <w:rsid w:val="00A36D53"/>
    <w:rsid w:val="00A37EA8"/>
    <w:rsid w:val="00A50A99"/>
    <w:rsid w:val="00A54F74"/>
    <w:rsid w:val="00A605F4"/>
    <w:rsid w:val="00A62EF6"/>
    <w:rsid w:val="00A651D7"/>
    <w:rsid w:val="00A65C06"/>
    <w:rsid w:val="00A66FA0"/>
    <w:rsid w:val="00A75387"/>
    <w:rsid w:val="00A81694"/>
    <w:rsid w:val="00A828AF"/>
    <w:rsid w:val="00A82CC2"/>
    <w:rsid w:val="00A872F9"/>
    <w:rsid w:val="00A94DA6"/>
    <w:rsid w:val="00AA1DD1"/>
    <w:rsid w:val="00AA7B98"/>
    <w:rsid w:val="00AB2C26"/>
    <w:rsid w:val="00AB3159"/>
    <w:rsid w:val="00AB5CCE"/>
    <w:rsid w:val="00AC2CB7"/>
    <w:rsid w:val="00AD08B4"/>
    <w:rsid w:val="00AD1028"/>
    <w:rsid w:val="00AE09FD"/>
    <w:rsid w:val="00AE28E4"/>
    <w:rsid w:val="00AF16FF"/>
    <w:rsid w:val="00AF44D6"/>
    <w:rsid w:val="00AF4D33"/>
    <w:rsid w:val="00B0198C"/>
    <w:rsid w:val="00B044DE"/>
    <w:rsid w:val="00B06198"/>
    <w:rsid w:val="00B063ED"/>
    <w:rsid w:val="00B125A4"/>
    <w:rsid w:val="00B216C2"/>
    <w:rsid w:val="00B32564"/>
    <w:rsid w:val="00B33885"/>
    <w:rsid w:val="00B34018"/>
    <w:rsid w:val="00B4732B"/>
    <w:rsid w:val="00B47BA9"/>
    <w:rsid w:val="00B516BC"/>
    <w:rsid w:val="00B526D0"/>
    <w:rsid w:val="00B541E7"/>
    <w:rsid w:val="00B56465"/>
    <w:rsid w:val="00B60CDD"/>
    <w:rsid w:val="00B6549A"/>
    <w:rsid w:val="00B658E0"/>
    <w:rsid w:val="00B71A35"/>
    <w:rsid w:val="00B754AB"/>
    <w:rsid w:val="00B76237"/>
    <w:rsid w:val="00B84D5F"/>
    <w:rsid w:val="00B85E8B"/>
    <w:rsid w:val="00B906B7"/>
    <w:rsid w:val="00B91AE9"/>
    <w:rsid w:val="00B91B0C"/>
    <w:rsid w:val="00B92610"/>
    <w:rsid w:val="00B9407F"/>
    <w:rsid w:val="00B95069"/>
    <w:rsid w:val="00B95924"/>
    <w:rsid w:val="00B96708"/>
    <w:rsid w:val="00BA0B9E"/>
    <w:rsid w:val="00BA387C"/>
    <w:rsid w:val="00BA69E4"/>
    <w:rsid w:val="00BA7728"/>
    <w:rsid w:val="00BB1B10"/>
    <w:rsid w:val="00BC45AF"/>
    <w:rsid w:val="00BD0EAB"/>
    <w:rsid w:val="00BD1AD9"/>
    <w:rsid w:val="00BD25E7"/>
    <w:rsid w:val="00BE0364"/>
    <w:rsid w:val="00BE0CEB"/>
    <w:rsid w:val="00BE28A6"/>
    <w:rsid w:val="00BF49D9"/>
    <w:rsid w:val="00BF755E"/>
    <w:rsid w:val="00BF7900"/>
    <w:rsid w:val="00C03A94"/>
    <w:rsid w:val="00C06D06"/>
    <w:rsid w:val="00C07F63"/>
    <w:rsid w:val="00C11275"/>
    <w:rsid w:val="00C12889"/>
    <w:rsid w:val="00C17341"/>
    <w:rsid w:val="00C201B8"/>
    <w:rsid w:val="00C235D3"/>
    <w:rsid w:val="00C2480B"/>
    <w:rsid w:val="00C25B3B"/>
    <w:rsid w:val="00C25D81"/>
    <w:rsid w:val="00C25F80"/>
    <w:rsid w:val="00C274DA"/>
    <w:rsid w:val="00C278C1"/>
    <w:rsid w:val="00C30397"/>
    <w:rsid w:val="00C33588"/>
    <w:rsid w:val="00C366D5"/>
    <w:rsid w:val="00C414AE"/>
    <w:rsid w:val="00C45C18"/>
    <w:rsid w:val="00C4602D"/>
    <w:rsid w:val="00C46934"/>
    <w:rsid w:val="00C51158"/>
    <w:rsid w:val="00C53D8F"/>
    <w:rsid w:val="00C54ACF"/>
    <w:rsid w:val="00C558EF"/>
    <w:rsid w:val="00C56235"/>
    <w:rsid w:val="00C62EAD"/>
    <w:rsid w:val="00C64886"/>
    <w:rsid w:val="00C64E13"/>
    <w:rsid w:val="00C7142B"/>
    <w:rsid w:val="00C7479C"/>
    <w:rsid w:val="00C829A6"/>
    <w:rsid w:val="00C9227A"/>
    <w:rsid w:val="00C92AF1"/>
    <w:rsid w:val="00C95C99"/>
    <w:rsid w:val="00C96A3B"/>
    <w:rsid w:val="00CA01EE"/>
    <w:rsid w:val="00CA4656"/>
    <w:rsid w:val="00CA489E"/>
    <w:rsid w:val="00CA4B14"/>
    <w:rsid w:val="00CB1F91"/>
    <w:rsid w:val="00CB3125"/>
    <w:rsid w:val="00CB3AAC"/>
    <w:rsid w:val="00CB5D3A"/>
    <w:rsid w:val="00CC4670"/>
    <w:rsid w:val="00CC53AF"/>
    <w:rsid w:val="00CC7DAE"/>
    <w:rsid w:val="00CD232D"/>
    <w:rsid w:val="00CD5CE9"/>
    <w:rsid w:val="00CD702A"/>
    <w:rsid w:val="00CD723C"/>
    <w:rsid w:val="00CE4BB1"/>
    <w:rsid w:val="00CE62C3"/>
    <w:rsid w:val="00CF39F9"/>
    <w:rsid w:val="00CF6495"/>
    <w:rsid w:val="00CF65D7"/>
    <w:rsid w:val="00CF660C"/>
    <w:rsid w:val="00D011FF"/>
    <w:rsid w:val="00D02500"/>
    <w:rsid w:val="00D0328B"/>
    <w:rsid w:val="00D03BAF"/>
    <w:rsid w:val="00D055EB"/>
    <w:rsid w:val="00D05C8E"/>
    <w:rsid w:val="00D07003"/>
    <w:rsid w:val="00D10A04"/>
    <w:rsid w:val="00D12D39"/>
    <w:rsid w:val="00D14232"/>
    <w:rsid w:val="00D1511F"/>
    <w:rsid w:val="00D1618B"/>
    <w:rsid w:val="00D2319C"/>
    <w:rsid w:val="00D235A3"/>
    <w:rsid w:val="00D251FE"/>
    <w:rsid w:val="00D35767"/>
    <w:rsid w:val="00D3630D"/>
    <w:rsid w:val="00D52803"/>
    <w:rsid w:val="00D62678"/>
    <w:rsid w:val="00D66A4B"/>
    <w:rsid w:val="00D67BB5"/>
    <w:rsid w:val="00D817C9"/>
    <w:rsid w:val="00D849A7"/>
    <w:rsid w:val="00D85D12"/>
    <w:rsid w:val="00D86EE0"/>
    <w:rsid w:val="00D87DC5"/>
    <w:rsid w:val="00D91073"/>
    <w:rsid w:val="00D947C7"/>
    <w:rsid w:val="00D95E27"/>
    <w:rsid w:val="00D96784"/>
    <w:rsid w:val="00D97DCF"/>
    <w:rsid w:val="00DA0D41"/>
    <w:rsid w:val="00DA1895"/>
    <w:rsid w:val="00DA2801"/>
    <w:rsid w:val="00DA2962"/>
    <w:rsid w:val="00DA2BB3"/>
    <w:rsid w:val="00DA33F4"/>
    <w:rsid w:val="00DA4305"/>
    <w:rsid w:val="00DA48DA"/>
    <w:rsid w:val="00DA505E"/>
    <w:rsid w:val="00DA6496"/>
    <w:rsid w:val="00DB03EA"/>
    <w:rsid w:val="00DB1167"/>
    <w:rsid w:val="00DB6431"/>
    <w:rsid w:val="00DC2054"/>
    <w:rsid w:val="00DC6BC1"/>
    <w:rsid w:val="00DC7DEF"/>
    <w:rsid w:val="00DC7EA1"/>
    <w:rsid w:val="00DD1F1D"/>
    <w:rsid w:val="00DD2848"/>
    <w:rsid w:val="00DD3A5D"/>
    <w:rsid w:val="00DD52FF"/>
    <w:rsid w:val="00DE144B"/>
    <w:rsid w:val="00DE5425"/>
    <w:rsid w:val="00DE58E3"/>
    <w:rsid w:val="00DF47AC"/>
    <w:rsid w:val="00DF77CC"/>
    <w:rsid w:val="00E00EEA"/>
    <w:rsid w:val="00E00F15"/>
    <w:rsid w:val="00E01002"/>
    <w:rsid w:val="00E155F8"/>
    <w:rsid w:val="00E20619"/>
    <w:rsid w:val="00E20EAB"/>
    <w:rsid w:val="00E21629"/>
    <w:rsid w:val="00E219CD"/>
    <w:rsid w:val="00E21AA5"/>
    <w:rsid w:val="00E23794"/>
    <w:rsid w:val="00E25561"/>
    <w:rsid w:val="00E26C87"/>
    <w:rsid w:val="00E3113A"/>
    <w:rsid w:val="00E35119"/>
    <w:rsid w:val="00E42165"/>
    <w:rsid w:val="00E4292F"/>
    <w:rsid w:val="00E4295B"/>
    <w:rsid w:val="00E42CF0"/>
    <w:rsid w:val="00E5282D"/>
    <w:rsid w:val="00E52FAB"/>
    <w:rsid w:val="00E55910"/>
    <w:rsid w:val="00E57960"/>
    <w:rsid w:val="00E61B73"/>
    <w:rsid w:val="00E66FB4"/>
    <w:rsid w:val="00E7056B"/>
    <w:rsid w:val="00E7633D"/>
    <w:rsid w:val="00E76CA2"/>
    <w:rsid w:val="00E77AD7"/>
    <w:rsid w:val="00E80657"/>
    <w:rsid w:val="00E81030"/>
    <w:rsid w:val="00E82794"/>
    <w:rsid w:val="00E83E5A"/>
    <w:rsid w:val="00E850C0"/>
    <w:rsid w:val="00E941DE"/>
    <w:rsid w:val="00E94BD8"/>
    <w:rsid w:val="00E951EB"/>
    <w:rsid w:val="00E9640A"/>
    <w:rsid w:val="00E97504"/>
    <w:rsid w:val="00EA4683"/>
    <w:rsid w:val="00EA4B10"/>
    <w:rsid w:val="00EA6C4A"/>
    <w:rsid w:val="00EB191D"/>
    <w:rsid w:val="00EB24BF"/>
    <w:rsid w:val="00EB2F73"/>
    <w:rsid w:val="00EB59A6"/>
    <w:rsid w:val="00EC40C3"/>
    <w:rsid w:val="00EC51CA"/>
    <w:rsid w:val="00ED16A9"/>
    <w:rsid w:val="00ED260A"/>
    <w:rsid w:val="00EE140F"/>
    <w:rsid w:val="00EE193A"/>
    <w:rsid w:val="00EE3D78"/>
    <w:rsid w:val="00EF0BCE"/>
    <w:rsid w:val="00EF2250"/>
    <w:rsid w:val="00EF4226"/>
    <w:rsid w:val="00EF6272"/>
    <w:rsid w:val="00F046FF"/>
    <w:rsid w:val="00F156B9"/>
    <w:rsid w:val="00F15FE9"/>
    <w:rsid w:val="00F16446"/>
    <w:rsid w:val="00F27E53"/>
    <w:rsid w:val="00F31E08"/>
    <w:rsid w:val="00F31F89"/>
    <w:rsid w:val="00F32FBD"/>
    <w:rsid w:val="00F33F45"/>
    <w:rsid w:val="00F340FD"/>
    <w:rsid w:val="00F35E45"/>
    <w:rsid w:val="00F36595"/>
    <w:rsid w:val="00F375AE"/>
    <w:rsid w:val="00F37795"/>
    <w:rsid w:val="00F40495"/>
    <w:rsid w:val="00F40D04"/>
    <w:rsid w:val="00F412DA"/>
    <w:rsid w:val="00F47921"/>
    <w:rsid w:val="00F51D09"/>
    <w:rsid w:val="00F66B2F"/>
    <w:rsid w:val="00F7019B"/>
    <w:rsid w:val="00F71943"/>
    <w:rsid w:val="00F77209"/>
    <w:rsid w:val="00F80B7C"/>
    <w:rsid w:val="00F820EA"/>
    <w:rsid w:val="00F833DE"/>
    <w:rsid w:val="00F92D9F"/>
    <w:rsid w:val="00F948E3"/>
    <w:rsid w:val="00F94E93"/>
    <w:rsid w:val="00F97F7A"/>
    <w:rsid w:val="00FA4783"/>
    <w:rsid w:val="00FA60D7"/>
    <w:rsid w:val="00FA63EF"/>
    <w:rsid w:val="00FA6E45"/>
    <w:rsid w:val="00FA6FA7"/>
    <w:rsid w:val="00FB096D"/>
    <w:rsid w:val="00FB16A7"/>
    <w:rsid w:val="00FB1B8B"/>
    <w:rsid w:val="00FB4255"/>
    <w:rsid w:val="00FB5D4D"/>
    <w:rsid w:val="00FC3460"/>
    <w:rsid w:val="00FC6AC7"/>
    <w:rsid w:val="00FD0489"/>
    <w:rsid w:val="00FD088F"/>
    <w:rsid w:val="00FD5408"/>
    <w:rsid w:val="00FE357F"/>
    <w:rsid w:val="00FE4A2A"/>
    <w:rsid w:val="00FF754A"/>
    <w:rsid w:val="00FF77F4"/>
    <w:rsid w:val="19625724"/>
    <w:rsid w:val="401A055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B1112B"/>
  <w15:chartTrackingRefBased/>
  <w15:docId w15:val="{EFCFFEBD-E5D9-4D70-99CD-2B10C8DA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semiHidden="1"/>
    <w:lsdException w:name="annotation text" w:semiHidden="1"/>
    <w:lsdException w:name="caption" w:qFormat="1"/>
    <w:lsdException w:name="footnote reference" w:semiHidden="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text1">
    <w:name w:val="strongtext1"/>
    <w:rPr>
      <w:rFonts w:ascii="Tahoma,Arial,Courier,宋体" w:eastAsia="Tahoma,Arial,Courier,宋体" w:hint="eastAsia"/>
      <w:b/>
      <w:bCs/>
      <w:sz w:val="18"/>
      <w:szCs w:val="18"/>
    </w:rPr>
  </w:style>
  <w:style w:type="character" w:styleId="CommentReference">
    <w:name w:val="annotation reference"/>
    <w:semiHidden/>
    <w:rPr>
      <w:sz w:val="21"/>
      <w:szCs w:val="21"/>
    </w:rPr>
  </w:style>
  <w:style w:type="character" w:customStyle="1" w:styleId="CommentTextChar1">
    <w:name w:val="Comment Text Char1"/>
    <w:link w:val="CommentText"/>
    <w:semiHidden/>
    <w:rPr>
      <w:rFonts w:eastAsia="宋体"/>
      <w:kern w:val="2"/>
      <w:sz w:val="21"/>
      <w:szCs w:val="24"/>
      <w:lang w:val="en-US" w:eastAsia="zh-CN" w:bidi="ar-SA"/>
    </w:rPr>
  </w:style>
  <w:style w:type="character" w:styleId="FollowedHyperlink">
    <w:name w:val="FollowedHyperlink"/>
    <w:rPr>
      <w:color w:val="800080"/>
      <w:u w:val="single"/>
    </w:rPr>
  </w:style>
  <w:style w:type="character" w:customStyle="1" w:styleId="paneltitle1">
    <w:name w:val="paneltitle1"/>
    <w:rPr>
      <w:rFonts w:ascii="Tahoma,Arial,Courier,宋体" w:eastAsia="Tahoma,Arial,Courier,宋体" w:hint="eastAsia"/>
      <w:b/>
      <w:bCs/>
      <w:color w:val="008000"/>
      <w:sz w:val="18"/>
      <w:szCs w:val="18"/>
    </w:rPr>
  </w:style>
  <w:style w:type="character" w:customStyle="1" w:styleId="CommentTextChar">
    <w:name w:val="Comment Text Char"/>
    <w:rPr>
      <w:rFonts w:ascii="Verdana" w:eastAsia="MS Mincho" w:hAnsi="Verdana" w:cs="Times New Roman"/>
      <w:sz w:val="18"/>
      <w:lang w:val="en-GB" w:eastAsia="en-US" w:bidi="ar-SA"/>
    </w:rPr>
  </w:style>
  <w:style w:type="character" w:styleId="PageNumber">
    <w:name w:val="page number"/>
    <w:basedOn w:val="DefaultParagraphFont"/>
  </w:style>
  <w:style w:type="character" w:customStyle="1" w:styleId="CODE">
    <w:name w:val="CODE"/>
    <w:rPr>
      <w:rFonts w:ascii="Courier New" w:hAnsi="Courier New"/>
      <w:spacing w:val="-10"/>
      <w:sz w:val="20"/>
      <w:lang w:val="en-GB" w:eastAsia="zh-CN"/>
    </w:rPr>
  </w:style>
  <w:style w:type="character" w:styleId="Hyperlink">
    <w:name w:val="Hyperlink"/>
    <w:uiPriority w:val="99"/>
    <w:rPr>
      <w:color w:val="0000FF"/>
      <w:u w:val="single"/>
    </w:rPr>
  </w:style>
  <w:style w:type="character" w:customStyle="1" w:styleId="1">
    <w:name w:val="正文文本1"/>
    <w:aliases w:val="正文文字 Char Char Char Char Char Char Char Char"/>
    <w:rPr>
      <w:rFonts w:ascii="仿宋_GB2312" w:eastAsia="仿宋_GB2312"/>
      <w:sz w:val="28"/>
      <w:lang w:val="en-US" w:eastAsia="zh-CN" w:bidi="ar-SA"/>
    </w:rPr>
  </w:style>
  <w:style w:type="character" w:customStyle="1" w:styleId="p11">
    <w:name w:val="p11"/>
    <w:rPr>
      <w:rFonts w:ascii="宋体" w:eastAsia="宋体" w:hAnsi="宋体" w:hint="eastAsia"/>
      <w:sz w:val="22"/>
      <w:szCs w:val="22"/>
    </w:rPr>
  </w:style>
  <w:style w:type="character" w:styleId="FootnoteReference">
    <w:name w:val="footnote reference"/>
    <w:semiHidden/>
    <w:rPr>
      <w:vertAlign w:val="superscript"/>
    </w:rPr>
  </w:style>
  <w:style w:type="character" w:customStyle="1" w:styleId="BodyTextChar">
    <w:name w:val="Body Text Char"/>
    <w:link w:val="BodyText"/>
    <w:rPr>
      <w:rFonts w:ascii="Verdana" w:eastAsia="MS Mincho" w:hAnsi="Verdana"/>
      <w:sz w:val="18"/>
      <w:lang w:val="en-GB" w:eastAsia="en-US" w:bidi="ar-SA"/>
    </w:rPr>
  </w:style>
  <w:style w:type="paragraph" w:styleId="TOC3">
    <w:name w:val="toc 3"/>
    <w:basedOn w:val="Normal"/>
    <w:next w:val="Normal"/>
    <w:uiPriority w:val="39"/>
    <w:pPr>
      <w:ind w:leftChars="400" w:left="840"/>
    </w:pPr>
  </w:style>
  <w:style w:type="paragraph" w:styleId="BodyText">
    <w:name w:val="Body Text"/>
    <w:basedOn w:val="Normal"/>
    <w:link w:val="BodyTextChar"/>
    <w:pPr>
      <w:widowControl/>
      <w:spacing w:before="120" w:after="120"/>
    </w:pPr>
    <w:rPr>
      <w:rFonts w:ascii="Verdana" w:eastAsia="MS Mincho" w:hAnsi="Verdana"/>
      <w:kern w:val="0"/>
      <w:sz w:val="18"/>
      <w:szCs w:val="20"/>
      <w:lang w:val="en-GB" w:eastAsia="en-US"/>
    </w:rPr>
  </w:style>
  <w:style w:type="paragraph" w:styleId="CommentText">
    <w:name w:val="annotation text"/>
    <w:basedOn w:val="Normal"/>
    <w:link w:val="CommentTextChar1"/>
    <w:semiHidden/>
    <w:pPr>
      <w:jc w:val="left"/>
    </w:pPr>
  </w:style>
  <w:style w:type="paragraph" w:styleId="DocumentMap">
    <w:name w:val="Document Map"/>
    <w:basedOn w:val="Normal"/>
    <w:semiHidden/>
    <w:pPr>
      <w:shd w:val="clear" w:color="auto" w:fill="000080"/>
    </w:pPr>
  </w:style>
  <w:style w:type="paragraph" w:styleId="Caption">
    <w:name w:val="caption"/>
    <w:basedOn w:val="Normal"/>
    <w:next w:val="Normal"/>
    <w:qFormat/>
    <w:pPr>
      <w:keepNext/>
      <w:widowControl/>
      <w:spacing w:before="120"/>
      <w:jc w:val="left"/>
    </w:pPr>
    <w:rPr>
      <w:rFonts w:ascii="Verdana" w:eastAsia="MS Mincho" w:hAnsi="Verdana"/>
      <w:b/>
      <w:kern w:val="0"/>
      <w:sz w:val="18"/>
      <w:szCs w:val="20"/>
      <w:lang w:val="en-GB" w:eastAsia="en-US"/>
    </w:rPr>
  </w:style>
  <w:style w:type="paragraph" w:customStyle="1" w:styleId="CharCharCharCharCharChar1CharCharChar">
    <w:name w:val=" Char Char Char Char Char Char1 Char Char Char"/>
    <w:basedOn w:val="Normal"/>
    <w:pPr>
      <w:autoSpaceDE w:val="0"/>
      <w:autoSpaceDN w:val="0"/>
      <w:adjustRightInd w:val="0"/>
      <w:jc w:val="left"/>
      <w:textAlignment w:val="baseline"/>
    </w:pPr>
    <w:rPr>
      <w:rFonts w:ascii="宋体"/>
      <w:kern w:val="0"/>
      <w:sz w:val="34"/>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sz w:val="18"/>
      <w:szCs w:val="18"/>
    </w:rPr>
  </w:style>
  <w:style w:type="paragraph" w:styleId="Header">
    <w:name w:val="header"/>
    <w:basedOn w:val="Normal"/>
    <w:pPr>
      <w:widowControl/>
      <w:tabs>
        <w:tab w:val="center" w:pos="4320"/>
        <w:tab w:val="right" w:pos="8640"/>
      </w:tabs>
      <w:jc w:val="left"/>
    </w:pPr>
    <w:rPr>
      <w:kern w:val="0"/>
      <w:sz w:val="24"/>
      <w:lang w:eastAsia="en-US"/>
    </w:rPr>
  </w:style>
  <w:style w:type="paragraph" w:styleId="Footer">
    <w:name w:val="footer"/>
    <w:basedOn w:val="Normal"/>
    <w:pPr>
      <w:tabs>
        <w:tab w:val="center" w:pos="4153"/>
        <w:tab w:val="right" w:pos="8306"/>
      </w:tabs>
      <w:snapToGrid w:val="0"/>
      <w:jc w:val="left"/>
    </w:pPr>
    <w:rPr>
      <w:sz w:val="18"/>
      <w:szCs w:val="18"/>
    </w:rPr>
  </w:style>
  <w:style w:type="paragraph" w:customStyle="1" w:styleId="xl33">
    <w:name w:val="xl33"/>
    <w:basedOn w:val="Normal"/>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rPr>
  </w:style>
  <w:style w:type="paragraph" w:customStyle="1" w:styleId="a">
    <w:name w:val="比"/>
    <w:basedOn w:val="Normal"/>
    <w:pPr>
      <w:numPr>
        <w:ilvl w:val="4"/>
        <w:numId w:val="1"/>
      </w:numPr>
      <w:tabs>
        <w:tab w:val="left" w:pos="992"/>
      </w:tabs>
    </w:pPr>
  </w:style>
  <w:style w:type="paragraph" w:styleId="TOC1">
    <w:name w:val="toc 1"/>
    <w:basedOn w:val="Normal"/>
    <w:next w:val="Normal"/>
    <w:uiPriority w:val="39"/>
    <w:pPr>
      <w:tabs>
        <w:tab w:val="left" w:pos="420"/>
        <w:tab w:val="right" w:leader="dot" w:pos="9710"/>
      </w:tabs>
    </w:pPr>
  </w:style>
  <w:style w:type="paragraph" w:customStyle="1" w:styleId="Titlessbold10510">
    <w:name w:val="Title ssbold 10.5/10"/>
    <w:basedOn w:val="Normal"/>
    <w:next w:val="Normal"/>
    <w:pPr>
      <w:widowControl/>
      <w:autoSpaceDE w:val="0"/>
      <w:autoSpaceDN w:val="0"/>
      <w:spacing w:line="200" w:lineRule="exact"/>
      <w:jc w:val="left"/>
    </w:pPr>
    <w:rPr>
      <w:rFonts w:ascii="B 2Stone Sans Bold" w:hAnsi="B 2Stone Sans Bold"/>
      <w:kern w:val="0"/>
      <w:szCs w:val="21"/>
      <w:lang w:eastAsia="en-US"/>
    </w:rPr>
  </w:style>
  <w:style w:type="paragraph" w:styleId="FootnoteText">
    <w:name w:val="footnote text"/>
    <w:basedOn w:val="Normal"/>
    <w:semiHidden/>
    <w:pPr>
      <w:snapToGrid w:val="0"/>
      <w:jc w:val="left"/>
    </w:pPr>
    <w:rPr>
      <w:sz w:val="18"/>
      <w:szCs w:val="18"/>
    </w:rPr>
  </w:style>
  <w:style w:type="paragraph" w:customStyle="1" w:styleId="Char1CharCharCharChar">
    <w:name w:val="Char1 Char Char Char Char"/>
    <w:basedOn w:val="Normal"/>
    <w:pPr>
      <w:widowControl/>
      <w:spacing w:after="160" w:line="240" w:lineRule="exact"/>
      <w:jc w:val="left"/>
    </w:pPr>
    <w:rPr>
      <w:rFonts w:ascii="Verdana" w:hAnsi="Verdana" w:cs="Verdana"/>
      <w:kern w:val="0"/>
      <w:sz w:val="20"/>
      <w:szCs w:val="20"/>
      <w:lang w:eastAsia="en-US"/>
    </w:rPr>
  </w:style>
  <w:style w:type="paragraph" w:styleId="TOC2">
    <w:name w:val="toc 2"/>
    <w:basedOn w:val="Normal"/>
    <w:next w:val="Normal"/>
    <w:uiPriority w:val="39"/>
    <w:pPr>
      <w:ind w:leftChars="200" w:left="420"/>
    </w:pPr>
  </w:style>
  <w:style w:type="paragraph" w:customStyle="1" w:styleId="CharCharCharChar">
    <w:name w:val=" Char Char Char Char"/>
    <w:basedOn w:val="Normal"/>
    <w:pPr>
      <w:tabs>
        <w:tab w:val="left" w:pos="840"/>
      </w:tabs>
      <w:adjustRightInd w:val="0"/>
      <w:spacing w:line="360" w:lineRule="atLeast"/>
      <w:ind w:left="840" w:hanging="360"/>
      <w:textAlignment w:val="baseline"/>
    </w:pPr>
    <w:rPr>
      <w:sz w:val="24"/>
    </w:rPr>
  </w:style>
  <w:style w:type="paragraph" w:styleId="ListParagraph">
    <w:name w:val="List Paragraph"/>
    <w:basedOn w:val="Normal"/>
    <w:qFormat/>
    <w:pPr>
      <w:ind w:firstLineChars="200" w:firstLine="420"/>
    </w:pPr>
  </w:style>
  <w:style w:type="paragraph" w:customStyle="1" w:styleId="a0">
    <w:name w:val="段"/>
    <w:pPr>
      <w:autoSpaceDE w:val="0"/>
      <w:autoSpaceDN w:val="0"/>
      <w:ind w:firstLineChars="200" w:firstLine="200"/>
      <w:jc w:val="both"/>
    </w:pPr>
    <w:rPr>
      <w:rFonts w:ascii="宋体"/>
      <w:sz w:val="21"/>
      <w:lang w:val="en-US"/>
    </w:rPr>
  </w:style>
  <w:style w:type="paragraph" w:customStyle="1" w:styleId="Char">
    <w:name w:val=" Char"/>
    <w:basedOn w:val="Normal"/>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672</Words>
  <Characters>3836</Characters>
  <Application>Microsoft Office Word</Application>
  <DocSecurity>0</DocSecurity>
  <PresentationFormat/>
  <Lines>31</Lines>
  <Paragraphs>8</Paragraphs>
  <Slides>0</Slides>
  <Notes>0</Notes>
  <HiddenSlides>0</HiddenSlides>
  <MMClips>0</MMClips>
  <ScaleCrop>false</ScaleCrop>
  <Manager/>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基金XBRL</dc:title>
  <dc:subject/>
  <dc:creator>SSEInfonet</dc:creator>
  <cp:keywords/>
  <dc:description/>
  <cp:lastModifiedBy>LIN SUISHENG</cp:lastModifiedBy>
  <cp:revision>2</cp:revision>
  <cp:lastPrinted>2006-02-16T05:12:00Z</cp:lastPrinted>
  <dcterms:created xsi:type="dcterms:W3CDTF">2025-07-19T07:06:00Z</dcterms:created>
  <dcterms:modified xsi:type="dcterms:W3CDTF">2025-07-19T07:06:00Z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