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2298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CSRC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基金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XBRL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实例文档编制技术指引</w:t>
      </w:r>
    </w:p>
    <w:p w14:paraId="6FFFD9B6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号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E15DCA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临时公告</w:t>
      </w:r>
    </w:p>
    <w:p w14:paraId="455019AC" w14:textId="77777777" w:rsidR="005572B9" w:rsidRPr="00E15DCA" w:rsidRDefault="005572B9">
      <w:pPr>
        <w:spacing w:beforeLines="150" w:before="468"/>
        <w:jc w:val="center"/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5DCA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当前版本号</w:t>
      </w:r>
      <w:r w:rsidRPr="00E15DCA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V2.</w:t>
      </w:r>
      <w:r w:rsidRPr="00E15DCA">
        <w:rPr>
          <w:rFonts w:hint="eastAsia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2CF5AD62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095088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6359A2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7268BB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288F59" w14:textId="77777777" w:rsidR="005572B9" w:rsidRPr="00E15DCA" w:rsidRDefault="005572B9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1012C3" w14:textId="77777777" w:rsidR="005572B9" w:rsidRDefault="005572B9">
      <w:pPr>
        <w:jc w:val="center"/>
        <w:rPr>
          <w:b/>
          <w:color w:val="000000"/>
        </w:rPr>
      </w:pPr>
      <w:r>
        <w:rPr>
          <w:b/>
          <w:bCs/>
          <w:color w:val="000000"/>
          <w:sz w:val="28"/>
        </w:rPr>
        <w:t>文档版本历史表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84"/>
        <w:gridCol w:w="1455"/>
        <w:gridCol w:w="5045"/>
      </w:tblGrid>
      <w:tr w:rsidR="005572B9" w14:paraId="4B8D983A" w14:textId="77777777">
        <w:trPr>
          <w:jc w:val="center"/>
        </w:trPr>
        <w:tc>
          <w:tcPr>
            <w:tcW w:w="900" w:type="dxa"/>
            <w:shd w:val="clear" w:color="000000" w:fill="E6E6E6"/>
            <w:vAlign w:val="center"/>
          </w:tcPr>
          <w:p w14:paraId="14AC9CFB" w14:textId="77777777" w:rsidR="005572B9" w:rsidRDefault="005572B9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版本号</w:t>
            </w:r>
          </w:p>
        </w:tc>
        <w:tc>
          <w:tcPr>
            <w:tcW w:w="784" w:type="dxa"/>
            <w:shd w:val="clear" w:color="000000" w:fill="E6E6E6"/>
            <w:vAlign w:val="center"/>
          </w:tcPr>
          <w:p w14:paraId="3D0F105E" w14:textId="77777777" w:rsidR="005572B9" w:rsidRDefault="005572B9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操作</w:t>
            </w:r>
          </w:p>
        </w:tc>
        <w:tc>
          <w:tcPr>
            <w:tcW w:w="1455" w:type="dxa"/>
            <w:shd w:val="clear" w:color="000000" w:fill="E6E6E6"/>
            <w:vAlign w:val="center"/>
          </w:tcPr>
          <w:p w14:paraId="05F3AF0F" w14:textId="77777777" w:rsidR="005572B9" w:rsidRDefault="005572B9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日期</w:t>
            </w:r>
          </w:p>
        </w:tc>
        <w:tc>
          <w:tcPr>
            <w:tcW w:w="5045" w:type="dxa"/>
            <w:shd w:val="clear" w:color="000000" w:fill="E6E6E6"/>
            <w:vAlign w:val="center"/>
          </w:tcPr>
          <w:p w14:paraId="708F7BCF" w14:textId="77777777" w:rsidR="005572B9" w:rsidRDefault="005572B9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说明</w:t>
            </w:r>
          </w:p>
        </w:tc>
      </w:tr>
      <w:tr w:rsidR="005572B9" w14:paraId="55782EE8" w14:textId="77777777">
        <w:trPr>
          <w:jc w:val="center"/>
        </w:trPr>
        <w:tc>
          <w:tcPr>
            <w:tcW w:w="900" w:type="dxa"/>
          </w:tcPr>
          <w:p w14:paraId="1215D5CB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 1.0</w:t>
            </w:r>
          </w:p>
        </w:tc>
        <w:tc>
          <w:tcPr>
            <w:tcW w:w="784" w:type="dxa"/>
          </w:tcPr>
          <w:p w14:paraId="6AB795B9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新建</w:t>
            </w:r>
          </w:p>
        </w:tc>
        <w:tc>
          <w:tcPr>
            <w:tcW w:w="1455" w:type="dxa"/>
          </w:tcPr>
          <w:p w14:paraId="1FF7D744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2009-12-25</w:t>
            </w:r>
          </w:p>
        </w:tc>
        <w:tc>
          <w:tcPr>
            <w:tcW w:w="5045" w:type="dxa"/>
          </w:tcPr>
          <w:p w14:paraId="020A0541" w14:textId="77777777" w:rsidR="005572B9" w:rsidRDefault="005572B9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新建</w:t>
            </w:r>
          </w:p>
        </w:tc>
      </w:tr>
      <w:tr w:rsidR="005572B9" w14:paraId="1F1D4E80" w14:textId="77777777">
        <w:trPr>
          <w:jc w:val="center"/>
        </w:trPr>
        <w:tc>
          <w:tcPr>
            <w:tcW w:w="900" w:type="dxa"/>
          </w:tcPr>
          <w:p w14:paraId="7EAC5F22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 1.1</w:t>
            </w:r>
          </w:p>
        </w:tc>
        <w:tc>
          <w:tcPr>
            <w:tcW w:w="784" w:type="dxa"/>
          </w:tcPr>
          <w:p w14:paraId="35CA9EED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393FC270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2010-1-5</w:t>
            </w:r>
          </w:p>
        </w:tc>
        <w:tc>
          <w:tcPr>
            <w:tcW w:w="5045" w:type="dxa"/>
          </w:tcPr>
          <w:p w14:paraId="5E132272" w14:textId="77777777" w:rsidR="005572B9" w:rsidRDefault="005572B9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</w:tr>
      <w:tr w:rsidR="005572B9" w14:paraId="446E8D5F" w14:textId="77777777">
        <w:trPr>
          <w:jc w:val="center"/>
        </w:trPr>
        <w:tc>
          <w:tcPr>
            <w:tcW w:w="900" w:type="dxa"/>
          </w:tcPr>
          <w:p w14:paraId="42594B3C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V1.2</w:t>
            </w:r>
          </w:p>
        </w:tc>
        <w:tc>
          <w:tcPr>
            <w:tcW w:w="784" w:type="dxa"/>
          </w:tcPr>
          <w:p w14:paraId="76A80241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266B6011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2010-3-23</w:t>
            </w:r>
          </w:p>
        </w:tc>
        <w:tc>
          <w:tcPr>
            <w:tcW w:w="5045" w:type="dxa"/>
          </w:tcPr>
          <w:p w14:paraId="005127BF" w14:textId="77777777" w:rsidR="005572B9" w:rsidRDefault="005572B9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</w:tr>
      <w:tr w:rsidR="005572B9" w14:paraId="0937072C" w14:textId="77777777">
        <w:trPr>
          <w:jc w:val="center"/>
        </w:trPr>
        <w:tc>
          <w:tcPr>
            <w:tcW w:w="900" w:type="dxa"/>
          </w:tcPr>
          <w:p w14:paraId="60325E30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V1.3</w:t>
            </w:r>
          </w:p>
        </w:tc>
        <w:tc>
          <w:tcPr>
            <w:tcW w:w="784" w:type="dxa"/>
          </w:tcPr>
          <w:p w14:paraId="07543627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44AE1A0F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2010-5-13</w:t>
            </w:r>
          </w:p>
        </w:tc>
        <w:tc>
          <w:tcPr>
            <w:tcW w:w="5045" w:type="dxa"/>
          </w:tcPr>
          <w:p w14:paraId="662A8B83" w14:textId="77777777" w:rsidR="005572B9" w:rsidRDefault="005572B9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</w:tr>
      <w:tr w:rsidR="005572B9" w14:paraId="7DD702EF" w14:textId="77777777">
        <w:trPr>
          <w:jc w:val="center"/>
        </w:trPr>
        <w:tc>
          <w:tcPr>
            <w:tcW w:w="900" w:type="dxa"/>
          </w:tcPr>
          <w:p w14:paraId="1F1AC9A6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V1.4</w:t>
            </w:r>
          </w:p>
        </w:tc>
        <w:tc>
          <w:tcPr>
            <w:tcW w:w="784" w:type="dxa"/>
          </w:tcPr>
          <w:p w14:paraId="61B6B4A7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393D5238" w14:textId="77777777" w:rsidR="005572B9" w:rsidRDefault="005572B9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2010-10-26</w:t>
            </w:r>
          </w:p>
        </w:tc>
        <w:tc>
          <w:tcPr>
            <w:tcW w:w="5045" w:type="dxa"/>
          </w:tcPr>
          <w:p w14:paraId="0088093C" w14:textId="77777777" w:rsidR="005572B9" w:rsidRDefault="005572B9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</w:tr>
      <w:tr w:rsidR="005572B9" w14:paraId="2E84166E" w14:textId="77777777">
        <w:trPr>
          <w:jc w:val="center"/>
        </w:trPr>
        <w:tc>
          <w:tcPr>
            <w:tcW w:w="900" w:type="dxa"/>
          </w:tcPr>
          <w:p w14:paraId="3C98773F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V1.5</w:t>
            </w:r>
          </w:p>
        </w:tc>
        <w:tc>
          <w:tcPr>
            <w:tcW w:w="784" w:type="dxa"/>
          </w:tcPr>
          <w:p w14:paraId="40238AF9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2E973931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2012-5-4</w:t>
            </w:r>
          </w:p>
        </w:tc>
        <w:tc>
          <w:tcPr>
            <w:tcW w:w="5045" w:type="dxa"/>
          </w:tcPr>
          <w:p w14:paraId="7A79D242" w14:textId="77777777" w:rsidR="005572B9" w:rsidRDefault="005572B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修订命名空间</w:t>
            </w:r>
          </w:p>
        </w:tc>
      </w:tr>
      <w:tr w:rsidR="005572B9" w14:paraId="778952FC" w14:textId="77777777">
        <w:trPr>
          <w:trHeight w:val="330"/>
          <w:jc w:val="center"/>
        </w:trPr>
        <w:tc>
          <w:tcPr>
            <w:tcW w:w="900" w:type="dxa"/>
          </w:tcPr>
          <w:p w14:paraId="1C5D3588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V1.51</w:t>
            </w:r>
          </w:p>
        </w:tc>
        <w:tc>
          <w:tcPr>
            <w:tcW w:w="784" w:type="dxa"/>
          </w:tcPr>
          <w:p w14:paraId="3EDB6564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01CD9602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2012-6-14</w:t>
            </w:r>
          </w:p>
        </w:tc>
        <w:tc>
          <w:tcPr>
            <w:tcW w:w="5045" w:type="dxa"/>
          </w:tcPr>
          <w:p w14:paraId="470074B0" w14:textId="77777777" w:rsidR="005572B9" w:rsidRDefault="005572B9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修订货币市场基金收益支付公告</w:t>
            </w:r>
          </w:p>
        </w:tc>
      </w:tr>
      <w:tr w:rsidR="005572B9" w14:paraId="6950DE44" w14:textId="77777777">
        <w:trPr>
          <w:trHeight w:val="330"/>
          <w:jc w:val="center"/>
        </w:trPr>
        <w:tc>
          <w:tcPr>
            <w:tcW w:w="900" w:type="dxa"/>
          </w:tcPr>
          <w:p w14:paraId="6A419697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V2.0</w:t>
            </w:r>
          </w:p>
        </w:tc>
        <w:tc>
          <w:tcPr>
            <w:tcW w:w="784" w:type="dxa"/>
          </w:tcPr>
          <w:p w14:paraId="713B013C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7FAB4797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2012-10-10</w:t>
            </w:r>
          </w:p>
        </w:tc>
        <w:tc>
          <w:tcPr>
            <w:tcW w:w="5045" w:type="dxa"/>
          </w:tcPr>
          <w:p w14:paraId="68E6622A" w14:textId="77777777" w:rsidR="005572B9" w:rsidRDefault="005572B9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增加短期理财债券型基金</w:t>
            </w:r>
          </w:p>
        </w:tc>
      </w:tr>
      <w:tr w:rsidR="005572B9" w14:paraId="0B9DF43B" w14:textId="77777777">
        <w:trPr>
          <w:trHeight w:val="330"/>
          <w:jc w:val="center"/>
        </w:trPr>
        <w:tc>
          <w:tcPr>
            <w:tcW w:w="900" w:type="dxa"/>
          </w:tcPr>
          <w:p w14:paraId="5E6BBDF4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V2.</w:t>
            </w: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784" w:type="dxa"/>
          </w:tcPr>
          <w:p w14:paraId="66631F04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修订</w:t>
            </w:r>
          </w:p>
        </w:tc>
        <w:tc>
          <w:tcPr>
            <w:tcW w:w="1455" w:type="dxa"/>
          </w:tcPr>
          <w:p w14:paraId="03A9D371" w14:textId="77777777" w:rsidR="005572B9" w:rsidRDefault="005572B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201</w:t>
            </w:r>
            <w:r>
              <w:rPr>
                <w:rFonts w:hint="eastAsia"/>
                <w:color w:val="000000"/>
                <w:sz w:val="18"/>
              </w:rPr>
              <w:t>7</w:t>
            </w:r>
            <w:r>
              <w:rPr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18</w:t>
            </w:r>
          </w:p>
        </w:tc>
        <w:tc>
          <w:tcPr>
            <w:tcW w:w="5045" w:type="dxa"/>
          </w:tcPr>
          <w:p w14:paraId="25215A9D" w14:textId="77777777" w:rsidR="005572B9" w:rsidRDefault="005572B9">
            <w:pPr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修订</w:t>
            </w:r>
          </w:p>
        </w:tc>
      </w:tr>
    </w:tbl>
    <w:p w14:paraId="45AF41F1" w14:textId="77777777" w:rsidR="005572B9" w:rsidRDefault="005572B9">
      <w:pPr>
        <w:rPr>
          <w:color w:val="000000"/>
        </w:rPr>
      </w:pPr>
      <w:r>
        <w:rPr>
          <w:color w:val="000000"/>
        </w:rPr>
        <w:br w:type="page"/>
      </w:r>
    </w:p>
    <w:p w14:paraId="6F819177" w14:textId="77777777" w:rsidR="005572B9" w:rsidRDefault="005572B9">
      <w:pPr>
        <w:widowControl/>
        <w:autoSpaceDE w:val="0"/>
        <w:autoSpaceDN w:val="0"/>
        <w:jc w:val="center"/>
        <w:textAlignment w:val="bottom"/>
        <w:rPr>
          <w:b/>
          <w:color w:val="000000"/>
          <w:sz w:val="44"/>
          <w:szCs w:val="44"/>
        </w:rPr>
      </w:pPr>
      <w:bookmarkStart w:id="0" w:name="_Toc119677984"/>
      <w:r>
        <w:rPr>
          <w:b/>
          <w:color w:val="000000"/>
          <w:sz w:val="44"/>
          <w:szCs w:val="44"/>
        </w:rPr>
        <w:t>目录</w:t>
      </w:r>
      <w:bookmarkEnd w:id="0"/>
    </w:p>
    <w:p w14:paraId="58B6770B" w14:textId="77777777" w:rsidR="005572B9" w:rsidRDefault="005572B9">
      <w:pPr>
        <w:widowControl/>
        <w:autoSpaceDE w:val="0"/>
        <w:autoSpaceDN w:val="0"/>
        <w:jc w:val="center"/>
        <w:textAlignment w:val="bottom"/>
        <w:rPr>
          <w:b/>
          <w:color w:val="000000"/>
          <w:sz w:val="44"/>
          <w:szCs w:val="44"/>
        </w:rPr>
      </w:pPr>
    </w:p>
    <w:p w14:paraId="6B01C1BA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27434687" w:history="1">
        <w:r>
          <w:rPr>
            <w:rStyle w:val="Hyperlink"/>
            <w:color w:val="000000"/>
            <w:lang w:eastAsia="zh-CN"/>
          </w:rPr>
          <w:t>1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参考的技术文档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_Toc327434687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3D71E984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88" w:history="1">
        <w:r>
          <w:rPr>
            <w:rStyle w:val="Hyperlink"/>
            <w:color w:val="000000"/>
            <w:lang w:eastAsia="zh-CN"/>
          </w:rPr>
          <w:t>2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入口文件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_Toc327434688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56184AFD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89" w:history="1">
        <w:r>
          <w:rPr>
            <w:rStyle w:val="Hyperlink"/>
            <w:color w:val="000000"/>
            <w:lang w:eastAsia="zh-CN"/>
          </w:rPr>
          <w:t>3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上下文的处理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_Toc327434689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7D01A42C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0" w:history="1">
        <w:r>
          <w:rPr>
            <w:rStyle w:val="Hyperlink"/>
            <w:color w:val="000000"/>
            <w:lang w:eastAsia="zh-CN"/>
          </w:rPr>
          <w:t>4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文件命名规则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_Toc327434690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4</w:t>
        </w:r>
        <w:r>
          <w:rPr>
            <w:color w:val="000000"/>
            <w:lang w:eastAsia="zh-CN"/>
          </w:rPr>
          <w:fldChar w:fldCharType="end"/>
        </w:r>
      </w:hyperlink>
    </w:p>
    <w:p w14:paraId="43042B23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1" w:history="1">
        <w:r>
          <w:rPr>
            <w:rStyle w:val="Hyperlink"/>
            <w:color w:val="000000"/>
            <w:lang w:eastAsia="zh-CN"/>
          </w:rPr>
          <w:t>5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必填元素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_Toc327434691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5</w:t>
        </w:r>
        <w:r>
          <w:rPr>
            <w:color w:val="000000"/>
            <w:lang w:eastAsia="zh-CN"/>
          </w:rPr>
          <w:fldChar w:fldCharType="end"/>
        </w:r>
      </w:hyperlink>
    </w:p>
    <w:p w14:paraId="11F7C0FF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2" w:history="1">
        <w:r>
          <w:rPr>
            <w:rStyle w:val="Hyperlink"/>
            <w:color w:val="000000"/>
            <w:lang w:eastAsia="zh-CN"/>
          </w:rPr>
          <w:t>6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关于在文本类元素中插入图、表格的技术说明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_Toc327434692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68B3C3F6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3" w:history="1">
        <w:r>
          <w:rPr>
            <w:rStyle w:val="Hyperlink"/>
            <w:color w:val="000000"/>
            <w:lang w:eastAsia="zh-CN"/>
          </w:rPr>
          <w:t>7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关于基金主代码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_Toc327434693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53719F97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4" w:history="1">
        <w:r>
          <w:rPr>
            <w:rStyle w:val="Hyperlink"/>
            <w:color w:val="000000"/>
            <w:lang w:eastAsia="zh-CN"/>
          </w:rPr>
          <w:t>8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关于申购费率、赎回费率的填写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_Toc327434694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49043AEC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5" w:history="1">
        <w:r>
          <w:rPr>
            <w:rStyle w:val="Hyperlink"/>
            <w:color w:val="000000"/>
            <w:lang w:eastAsia="zh-CN"/>
          </w:rPr>
          <w:t>9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关于增聘、解聘基金经理，新</w:t>
        </w:r>
        <w:r>
          <w:rPr>
            <w:rStyle w:val="Hyperlink"/>
            <w:color w:val="000000"/>
            <w:lang w:eastAsia="zh-CN"/>
          </w:rPr>
          <w:t>/</w:t>
        </w:r>
        <w:r>
          <w:rPr>
            <w:rStyle w:val="Hyperlink"/>
            <w:color w:val="000000"/>
            <w:lang w:eastAsia="zh-CN"/>
          </w:rPr>
          <w:t>代任、离任高级管理人员中判断信息的填写方法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_Toc327434695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7</w:t>
        </w:r>
        <w:r>
          <w:rPr>
            <w:color w:val="000000"/>
            <w:lang w:eastAsia="zh-CN"/>
          </w:rPr>
          <w:fldChar w:fldCharType="end"/>
        </w:r>
      </w:hyperlink>
    </w:p>
    <w:p w14:paraId="42554C1F" w14:textId="77777777" w:rsidR="005572B9" w:rsidRDefault="005572B9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27434696" w:history="1">
        <w:r>
          <w:rPr>
            <w:rStyle w:val="Hyperlink"/>
            <w:color w:val="000000"/>
            <w:lang w:eastAsia="zh-CN"/>
          </w:rPr>
          <w:t>10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关于货币市场基金收益支付公告的披露说明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_Toc327434696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7</w:t>
        </w:r>
        <w:r>
          <w:rPr>
            <w:color w:val="000000"/>
            <w:lang w:eastAsia="zh-CN"/>
          </w:rPr>
          <w:fldChar w:fldCharType="end"/>
        </w:r>
      </w:hyperlink>
    </w:p>
    <w:p w14:paraId="5D5619AD" w14:textId="77777777" w:rsidR="005572B9" w:rsidRDefault="005572B9">
      <w:pPr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</w:p>
    <w:p w14:paraId="4B23E893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" w:name="_Toc327434687"/>
      <w:bookmarkStart w:id="2" w:name="_Toc196100192"/>
      <w:r>
        <w:rPr>
          <w:bCs w:val="0"/>
          <w:color w:val="000000"/>
          <w:kern w:val="2"/>
          <w:sz w:val="32"/>
          <w:szCs w:val="24"/>
        </w:rPr>
        <w:t>参考的技术文档</w:t>
      </w:r>
      <w:bookmarkEnd w:id="1"/>
    </w:p>
    <w:p w14:paraId="3B9E2A5E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）《证券投资基金信息披露电子化规范》（送审稿）</w:t>
      </w:r>
    </w:p>
    <w:p w14:paraId="3DCC1F41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）《证券投资基金信息披露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标引规范（</w:t>
      </w:r>
      <w:r>
        <w:rPr>
          <w:color w:val="000000"/>
          <w:sz w:val="24"/>
        </w:rPr>
        <w:t>Taxonomy</w:t>
      </w:r>
      <w:r>
        <w:rPr>
          <w:color w:val="000000"/>
          <w:sz w:val="24"/>
        </w:rPr>
        <w:t>）》，中国证监会，</w:t>
      </w:r>
      <w:r>
        <w:rPr>
          <w:color w:val="000000"/>
          <w:sz w:val="24"/>
        </w:rPr>
        <w:t>2008.8.26</w:t>
      </w:r>
    </w:p>
    <w:p w14:paraId="5AD7E8EA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>CSRC</w:t>
      </w:r>
      <w:r>
        <w:rPr>
          <w:color w:val="000000"/>
          <w:sz w:val="24"/>
        </w:rPr>
        <w:t>基金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实例文档编制技术指引</w:t>
      </w:r>
      <w:r>
        <w:rPr>
          <w:color w:val="000000"/>
          <w:sz w:val="24"/>
        </w:rPr>
        <w:t xml:space="preserve"> – 1</w:t>
      </w:r>
      <w:r>
        <w:rPr>
          <w:color w:val="000000"/>
          <w:sz w:val="24"/>
        </w:rPr>
        <w:t>号</w:t>
      </w:r>
      <w:r>
        <w:rPr>
          <w:color w:val="000000"/>
          <w:sz w:val="24"/>
        </w:rPr>
        <w:t xml:space="preserve"> – </w:t>
      </w:r>
      <w:r>
        <w:rPr>
          <w:color w:val="000000"/>
          <w:sz w:val="24"/>
        </w:rPr>
        <w:t>一般性规定</w:t>
      </w:r>
    </w:p>
    <w:p w14:paraId="280F2CDB" w14:textId="77777777" w:rsidR="005572B9" w:rsidRDefault="005572B9">
      <w:pPr>
        <w:rPr>
          <w:color w:val="000000"/>
        </w:rPr>
      </w:pPr>
    </w:p>
    <w:p w14:paraId="69388AD9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3" w:name="_Toc327434688"/>
      <w:r>
        <w:rPr>
          <w:bCs w:val="0"/>
          <w:color w:val="000000"/>
          <w:kern w:val="2"/>
          <w:sz w:val="32"/>
          <w:szCs w:val="24"/>
        </w:rPr>
        <w:t>入口文件</w:t>
      </w:r>
      <w:bookmarkEnd w:id="3"/>
    </w:p>
    <w:p w14:paraId="39339700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临时公告的入口文件为：</w:t>
      </w:r>
    </w:p>
    <w:p w14:paraId="0B34B19F" w14:textId="77777777" w:rsidR="005572B9" w:rsidRDefault="005572B9">
      <w:pPr>
        <w:pStyle w:val="BodyText"/>
        <w:spacing w:before="0" w:after="0"/>
        <w:ind w:firstLine="420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  <w:t>http://eid.csrc.gov.cn/cn/fid/fi/ta/2007-09-01/cfid-fi-ta-2007-09-01.xsd</w:t>
      </w:r>
    </w:p>
    <w:p w14:paraId="7F8ED356" w14:textId="77777777" w:rsidR="005572B9" w:rsidRDefault="005572B9">
      <w:pPr>
        <w:rPr>
          <w:color w:val="000000"/>
        </w:rPr>
      </w:pPr>
    </w:p>
    <w:p w14:paraId="254E7B63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4" w:name="_Toc327434689"/>
      <w:r>
        <w:rPr>
          <w:bCs w:val="0"/>
          <w:color w:val="000000"/>
          <w:kern w:val="2"/>
          <w:sz w:val="32"/>
          <w:szCs w:val="24"/>
        </w:rPr>
        <w:t>上下文的处理</w:t>
      </w:r>
      <w:bookmarkEnd w:id="4"/>
    </w:p>
    <w:p w14:paraId="4EE0433B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分级</w:t>
      </w:r>
      <w:r>
        <w:rPr>
          <w:color w:val="000000"/>
          <w:sz w:val="24"/>
        </w:rPr>
        <w:t>/</w:t>
      </w:r>
      <w:r>
        <w:rPr>
          <w:color w:val="000000"/>
          <w:sz w:val="24"/>
        </w:rPr>
        <w:t>分类基金上下文的处理方式参见《</w:t>
      </w:r>
      <w:r>
        <w:rPr>
          <w:color w:val="000000"/>
          <w:sz w:val="24"/>
        </w:rPr>
        <w:t>CSRC</w:t>
      </w:r>
      <w:r>
        <w:rPr>
          <w:color w:val="000000"/>
          <w:sz w:val="24"/>
        </w:rPr>
        <w:t>基金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实例文档编制技术指引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号</w:t>
      </w:r>
      <w:r>
        <w:rPr>
          <w:color w:val="000000"/>
          <w:sz w:val="24"/>
        </w:rPr>
        <w:t xml:space="preserve"> – </w:t>
      </w:r>
      <w:r>
        <w:rPr>
          <w:color w:val="000000"/>
          <w:sz w:val="24"/>
        </w:rPr>
        <w:t>一般性规定》中的说明。</w:t>
      </w:r>
    </w:p>
    <w:p w14:paraId="0C80061A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封转开的开放式基金，</w:t>
      </w:r>
      <w:r>
        <w:rPr>
          <w:b/>
          <w:color w:val="000000"/>
          <w:sz w:val="24"/>
          <w:u w:val="wavyHeavy"/>
        </w:rPr>
        <w:t>不需要</w:t>
      </w:r>
      <w:r>
        <w:rPr>
          <w:color w:val="000000"/>
          <w:sz w:val="24"/>
        </w:rPr>
        <w:t>用</w:t>
      </w:r>
      <w:r>
        <w:rPr>
          <w:color w:val="000000"/>
          <w:sz w:val="24"/>
        </w:rPr>
        <w:t>scenario</w:t>
      </w:r>
      <w:r>
        <w:rPr>
          <w:color w:val="000000"/>
          <w:sz w:val="24"/>
        </w:rPr>
        <w:t>元素来表明封闭式或开放式。</w:t>
      </w:r>
    </w:p>
    <w:p w14:paraId="2676DADB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对于无指定基金代码的文档标识，应填写信息披露义务人代码：</w:t>
      </w:r>
    </w:p>
    <w:p w14:paraId="38B6BB02" w14:textId="77777777" w:rsidR="005572B9" w:rsidRDefault="005572B9">
      <w:pPr>
        <w:pStyle w:val="BodyText"/>
        <w:spacing w:before="0" w:after="0"/>
        <w:ind w:left="420" w:firstLine="420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  <w:t>&lt;entity&gt;</w:t>
      </w:r>
    </w:p>
    <w:p w14:paraId="5530FF16" w14:textId="77777777" w:rsidR="005572B9" w:rsidRDefault="005572B9">
      <w:pPr>
        <w:pStyle w:val="BodyText"/>
        <w:spacing w:before="0" w:after="0"/>
        <w:ind w:left="840" w:firstLine="420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  <w:t>&lt;identifier scheme="http://www.csrc.gov.cn"&gt;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szCs w:val="21"/>
          <w:lang w:val="en-US" w:eastAsia="zh-CN"/>
        </w:rPr>
        <w:t>信息披露义务人代码</w:t>
      </w:r>
    </w:p>
    <w:p w14:paraId="53B6D425" w14:textId="77777777" w:rsidR="005572B9" w:rsidRDefault="005572B9">
      <w:pPr>
        <w:pStyle w:val="BodyText"/>
        <w:spacing w:before="0" w:after="0"/>
        <w:ind w:left="840" w:firstLine="420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  <w:t xml:space="preserve">&lt;/identifier&gt; </w:t>
      </w:r>
    </w:p>
    <w:p w14:paraId="27F57186" w14:textId="77777777" w:rsidR="005572B9" w:rsidRDefault="005572B9">
      <w:pPr>
        <w:pStyle w:val="BodyText"/>
        <w:spacing w:before="0" w:after="0"/>
        <w:ind w:left="420" w:firstLine="420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  <w:t>&lt;/entity&gt;</w:t>
      </w:r>
    </w:p>
    <w:p w14:paraId="0E10F29B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bookmarkStart w:id="5" w:name="_Toc229215738"/>
      <w:r>
        <w:rPr>
          <w:color w:val="000000"/>
          <w:sz w:val="24"/>
        </w:rPr>
        <w:t>4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基金管理公司名称变更前后数据上下文的处理</w:t>
      </w:r>
      <w:bookmarkEnd w:id="5"/>
    </w:p>
    <w:p w14:paraId="3B37DE61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1</w:t>
      </w:r>
      <w:r>
        <w:rPr>
          <w:color w:val="000000"/>
          <w:szCs w:val="21"/>
        </w:rPr>
        <w:t>．基金管理公司名称变更前后数据上下文的书写方法：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5836"/>
      </w:tblGrid>
      <w:tr w:rsidR="005572B9" w14:paraId="07C00C60" w14:textId="77777777">
        <w:trPr>
          <w:jc w:val="center"/>
        </w:trPr>
        <w:tc>
          <w:tcPr>
            <w:tcW w:w="1236" w:type="dxa"/>
            <w:shd w:val="clear" w:color="auto" w:fill="B3B3B3"/>
          </w:tcPr>
          <w:p w14:paraId="695B004F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变更前后</w:t>
            </w:r>
          </w:p>
        </w:tc>
        <w:tc>
          <w:tcPr>
            <w:tcW w:w="5836" w:type="dxa"/>
            <w:shd w:val="clear" w:color="auto" w:fill="B3B3B3"/>
          </w:tcPr>
          <w:p w14:paraId="6327C511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上下文值</w:t>
            </w:r>
          </w:p>
        </w:tc>
      </w:tr>
      <w:tr w:rsidR="005572B9" w14:paraId="780BF40F" w14:textId="77777777">
        <w:trPr>
          <w:jc w:val="center"/>
        </w:trPr>
        <w:tc>
          <w:tcPr>
            <w:tcW w:w="1236" w:type="dxa"/>
          </w:tcPr>
          <w:p w14:paraId="6DA76144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变更前</w:t>
            </w:r>
          </w:p>
        </w:tc>
        <w:tc>
          <w:tcPr>
            <w:tcW w:w="5836" w:type="dxa"/>
          </w:tcPr>
          <w:p w14:paraId="494B55DA" w14:textId="77777777" w:rsidR="005572B9" w:rsidRDefault="005572B9">
            <w:pPr>
              <w:autoSpaceDE w:val="0"/>
              <w:autoSpaceDN w:val="0"/>
              <w:adjustRightInd w:val="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&lt;</w:t>
            </w:r>
            <w:r>
              <w:rPr>
                <w:rFonts w:eastAsia="楷体_GB2312"/>
                <w:color w:val="000000"/>
                <w:szCs w:val="21"/>
              </w:rPr>
              <w:t>scenario</w:t>
            </w: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&gt;</w:t>
            </w:r>
          </w:p>
          <w:p w14:paraId="6A29789D" w14:textId="77777777" w:rsidR="005572B9" w:rsidRDefault="005572B9">
            <w:pPr>
              <w:ind w:leftChars="370" w:left="777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&lt;cfid-common:BianGengZhuangTai&gt;</w:t>
            </w:r>
            <w:r>
              <w:rPr>
                <w:rFonts w:eastAsia="楷体_GB2312"/>
                <w:color w:val="000000"/>
              </w:rPr>
              <w:t>变更前</w:t>
            </w:r>
          </w:p>
          <w:p w14:paraId="540518DE" w14:textId="77777777" w:rsidR="005572B9" w:rsidRDefault="005572B9">
            <w:pPr>
              <w:ind w:leftChars="370" w:left="777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&lt;/cfid-common:BianGengZhuangTai&gt;</w:t>
            </w:r>
          </w:p>
          <w:p w14:paraId="6297E3D3" w14:textId="77777777" w:rsidR="005572B9" w:rsidRDefault="005572B9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&lt;/</w:t>
            </w:r>
            <w:r>
              <w:rPr>
                <w:rFonts w:eastAsia="楷体_GB2312"/>
                <w:color w:val="000000"/>
                <w:szCs w:val="21"/>
              </w:rPr>
              <w:t>scenario</w:t>
            </w: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&gt;</w:t>
            </w:r>
          </w:p>
        </w:tc>
      </w:tr>
      <w:tr w:rsidR="005572B9" w14:paraId="178F5561" w14:textId="77777777">
        <w:trPr>
          <w:jc w:val="center"/>
        </w:trPr>
        <w:tc>
          <w:tcPr>
            <w:tcW w:w="1236" w:type="dxa"/>
          </w:tcPr>
          <w:p w14:paraId="7D9EDE8E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变更后</w:t>
            </w:r>
          </w:p>
        </w:tc>
        <w:tc>
          <w:tcPr>
            <w:tcW w:w="5836" w:type="dxa"/>
          </w:tcPr>
          <w:p w14:paraId="52CCD835" w14:textId="77777777" w:rsidR="005572B9" w:rsidRDefault="005572B9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  <w:kern w:val="0"/>
                <w:szCs w:val="21"/>
                <w:highlight w:val="white"/>
              </w:rPr>
              <w:t>普通上下文</w:t>
            </w:r>
          </w:p>
        </w:tc>
      </w:tr>
    </w:tbl>
    <w:p w14:paraId="70CB21D5" w14:textId="77777777" w:rsidR="005572B9" w:rsidRDefault="005572B9">
      <w:pPr>
        <w:rPr>
          <w:color w:val="000000"/>
        </w:rPr>
      </w:pPr>
    </w:p>
    <w:p w14:paraId="3BDDE00A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2</w:t>
      </w:r>
      <w:r>
        <w:rPr>
          <w:color w:val="000000"/>
          <w:szCs w:val="21"/>
        </w:rPr>
        <w:t>．基金管理公司名称变更前后数据上下文的应用原则</w:t>
      </w:r>
    </w:p>
    <w:p w14:paraId="49E8BC9E" w14:textId="77777777" w:rsidR="005572B9" w:rsidRDefault="005572B9">
      <w:pPr>
        <w:widowControl/>
        <w:snapToGrid w:val="0"/>
        <w:spacing w:line="360" w:lineRule="auto"/>
        <w:ind w:left="1260"/>
        <w:rPr>
          <w:color w:val="000000"/>
          <w:szCs w:val="21"/>
        </w:rPr>
      </w:pPr>
      <w:r>
        <w:rPr>
          <w:color w:val="000000"/>
          <w:szCs w:val="21"/>
          <w:highlight w:val="lightGray"/>
        </w:rPr>
        <w:t xml:space="preserve">◇ </w:t>
      </w:r>
      <w:r>
        <w:rPr>
          <w:color w:val="000000"/>
          <w:szCs w:val="21"/>
        </w:rPr>
        <w:t>变更后数据使用普通上下文。</w:t>
      </w:r>
    </w:p>
    <w:p w14:paraId="0098E334" w14:textId="77777777" w:rsidR="005572B9" w:rsidRDefault="005572B9">
      <w:pPr>
        <w:widowControl/>
        <w:snapToGrid w:val="0"/>
        <w:spacing w:line="360" w:lineRule="auto"/>
        <w:ind w:left="1260"/>
        <w:rPr>
          <w:color w:val="000000"/>
          <w:szCs w:val="21"/>
        </w:rPr>
      </w:pPr>
      <w:r>
        <w:rPr>
          <w:color w:val="000000"/>
          <w:szCs w:val="21"/>
          <w:highlight w:val="lightGray"/>
        </w:rPr>
        <w:t xml:space="preserve">◇ </w:t>
      </w:r>
      <w:r>
        <w:rPr>
          <w:color w:val="000000"/>
          <w:szCs w:val="21"/>
        </w:rPr>
        <w:t>变更前数据使用</w:t>
      </w:r>
      <w:r>
        <w:rPr>
          <w:color w:val="000000"/>
          <w:szCs w:val="21"/>
        </w:rPr>
        <w:t>scenario</w:t>
      </w:r>
      <w:r>
        <w:rPr>
          <w:color w:val="000000"/>
          <w:szCs w:val="21"/>
        </w:rPr>
        <w:t>子元素</w:t>
      </w:r>
      <w:r>
        <w:rPr>
          <w:color w:val="000000"/>
          <w:szCs w:val="21"/>
        </w:rPr>
        <w:t>cfid-common: BianGengZhuangTai</w:t>
      </w:r>
      <w:r>
        <w:rPr>
          <w:color w:val="000000"/>
          <w:szCs w:val="21"/>
        </w:rPr>
        <w:t>取变更前值来区分。</w:t>
      </w:r>
    </w:p>
    <w:p w14:paraId="0450E14A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5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会计师事务所改聘前后数据上下文的处理</w:t>
      </w:r>
    </w:p>
    <w:p w14:paraId="2DDF8B7B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lastRenderedPageBreak/>
        <w:t>1</w:t>
      </w:r>
      <w:r>
        <w:rPr>
          <w:color w:val="000000"/>
          <w:szCs w:val="21"/>
        </w:rPr>
        <w:t>．会计师事务所改聘前后数据上下文的书写方法：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5836"/>
      </w:tblGrid>
      <w:tr w:rsidR="005572B9" w14:paraId="0BD78937" w14:textId="77777777">
        <w:trPr>
          <w:jc w:val="center"/>
        </w:trPr>
        <w:tc>
          <w:tcPr>
            <w:tcW w:w="1236" w:type="dxa"/>
            <w:shd w:val="clear" w:color="auto" w:fill="B3B3B3"/>
          </w:tcPr>
          <w:p w14:paraId="73F6CA7A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改聘前后</w:t>
            </w:r>
          </w:p>
        </w:tc>
        <w:tc>
          <w:tcPr>
            <w:tcW w:w="5836" w:type="dxa"/>
            <w:shd w:val="clear" w:color="auto" w:fill="B3B3B3"/>
          </w:tcPr>
          <w:p w14:paraId="5DC28E3C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上下文值</w:t>
            </w:r>
          </w:p>
        </w:tc>
      </w:tr>
      <w:tr w:rsidR="005572B9" w14:paraId="24746601" w14:textId="77777777">
        <w:trPr>
          <w:jc w:val="center"/>
        </w:trPr>
        <w:tc>
          <w:tcPr>
            <w:tcW w:w="1236" w:type="dxa"/>
          </w:tcPr>
          <w:p w14:paraId="66B7A84B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改聘前</w:t>
            </w:r>
          </w:p>
        </w:tc>
        <w:tc>
          <w:tcPr>
            <w:tcW w:w="5836" w:type="dxa"/>
          </w:tcPr>
          <w:p w14:paraId="2EC0309F" w14:textId="77777777" w:rsidR="005572B9" w:rsidRDefault="005572B9">
            <w:pPr>
              <w:autoSpaceDE w:val="0"/>
              <w:autoSpaceDN w:val="0"/>
              <w:adjustRightInd w:val="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&lt;</w:t>
            </w:r>
            <w:r>
              <w:rPr>
                <w:rFonts w:eastAsia="楷体_GB2312"/>
                <w:color w:val="000000"/>
                <w:szCs w:val="21"/>
              </w:rPr>
              <w:t>scenario</w:t>
            </w: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&gt;</w:t>
            </w:r>
          </w:p>
          <w:p w14:paraId="1E160267" w14:textId="77777777" w:rsidR="005572B9" w:rsidRDefault="005572B9">
            <w:pPr>
              <w:ind w:leftChars="370" w:left="777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&lt;cfid-common:GaiPingZhuangTai&gt;</w:t>
            </w:r>
            <w:r>
              <w:rPr>
                <w:rFonts w:eastAsia="楷体_GB2312"/>
                <w:color w:val="000000"/>
              </w:rPr>
              <w:t>改聘前</w:t>
            </w:r>
          </w:p>
          <w:p w14:paraId="4D66FD90" w14:textId="77777777" w:rsidR="005572B9" w:rsidRDefault="005572B9">
            <w:pPr>
              <w:ind w:leftChars="370" w:left="777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&lt;/cfid-common:GaiPingZhuangTai&gt;</w:t>
            </w:r>
          </w:p>
          <w:p w14:paraId="031A567B" w14:textId="77777777" w:rsidR="005572B9" w:rsidRDefault="005572B9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&lt;/</w:t>
            </w:r>
            <w:r>
              <w:rPr>
                <w:rFonts w:eastAsia="楷体_GB2312"/>
                <w:color w:val="000000"/>
                <w:szCs w:val="21"/>
              </w:rPr>
              <w:t>scenario</w:t>
            </w:r>
            <w:r>
              <w:rPr>
                <w:rFonts w:eastAsia="楷体_GB2312"/>
                <w:color w:val="000000"/>
                <w:kern w:val="0"/>
                <w:sz w:val="24"/>
                <w:highlight w:val="white"/>
              </w:rPr>
              <w:t>&gt;</w:t>
            </w:r>
          </w:p>
        </w:tc>
      </w:tr>
      <w:tr w:rsidR="005572B9" w14:paraId="2A110C84" w14:textId="77777777">
        <w:trPr>
          <w:jc w:val="center"/>
        </w:trPr>
        <w:tc>
          <w:tcPr>
            <w:tcW w:w="1236" w:type="dxa"/>
          </w:tcPr>
          <w:p w14:paraId="207A0C7C" w14:textId="77777777" w:rsidR="005572B9" w:rsidRDefault="005572B9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改聘后</w:t>
            </w:r>
          </w:p>
        </w:tc>
        <w:tc>
          <w:tcPr>
            <w:tcW w:w="5836" w:type="dxa"/>
          </w:tcPr>
          <w:p w14:paraId="053DAC8B" w14:textId="77777777" w:rsidR="005572B9" w:rsidRDefault="005572B9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  <w:kern w:val="0"/>
                <w:szCs w:val="21"/>
                <w:highlight w:val="white"/>
              </w:rPr>
              <w:t>普通上下文</w:t>
            </w:r>
          </w:p>
        </w:tc>
      </w:tr>
    </w:tbl>
    <w:p w14:paraId="6B19EA62" w14:textId="77777777" w:rsidR="005572B9" w:rsidRDefault="005572B9">
      <w:pPr>
        <w:rPr>
          <w:color w:val="000000"/>
        </w:rPr>
      </w:pPr>
    </w:p>
    <w:p w14:paraId="5C41A7E9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2</w:t>
      </w:r>
      <w:r>
        <w:rPr>
          <w:color w:val="000000"/>
          <w:szCs w:val="21"/>
        </w:rPr>
        <w:t>．会计师事务所改聘前后数据上下文的应用原则</w:t>
      </w:r>
    </w:p>
    <w:p w14:paraId="5DD38EA7" w14:textId="77777777" w:rsidR="005572B9" w:rsidRDefault="005572B9">
      <w:pPr>
        <w:widowControl/>
        <w:snapToGrid w:val="0"/>
        <w:spacing w:line="360" w:lineRule="auto"/>
        <w:ind w:left="1260"/>
        <w:rPr>
          <w:color w:val="000000"/>
          <w:szCs w:val="21"/>
        </w:rPr>
      </w:pPr>
      <w:r>
        <w:rPr>
          <w:color w:val="000000"/>
          <w:szCs w:val="21"/>
          <w:highlight w:val="lightGray"/>
        </w:rPr>
        <w:t xml:space="preserve">◇ </w:t>
      </w:r>
      <w:r>
        <w:rPr>
          <w:color w:val="000000"/>
          <w:szCs w:val="21"/>
        </w:rPr>
        <w:t>改聘后数据使用普通上下文。</w:t>
      </w:r>
    </w:p>
    <w:p w14:paraId="181483EC" w14:textId="77777777" w:rsidR="005572B9" w:rsidRDefault="005572B9">
      <w:pPr>
        <w:widowControl/>
        <w:snapToGrid w:val="0"/>
        <w:spacing w:line="360" w:lineRule="auto"/>
        <w:ind w:left="1260"/>
        <w:rPr>
          <w:color w:val="000000"/>
          <w:szCs w:val="21"/>
        </w:rPr>
      </w:pPr>
      <w:r>
        <w:rPr>
          <w:color w:val="000000"/>
          <w:szCs w:val="21"/>
          <w:highlight w:val="lightGray"/>
        </w:rPr>
        <w:t xml:space="preserve">◇ </w:t>
      </w:r>
      <w:r>
        <w:rPr>
          <w:color w:val="000000"/>
          <w:szCs w:val="21"/>
        </w:rPr>
        <w:t>改聘前数据使用</w:t>
      </w:r>
      <w:r>
        <w:rPr>
          <w:color w:val="000000"/>
          <w:szCs w:val="21"/>
        </w:rPr>
        <w:t>scenario</w:t>
      </w:r>
      <w:r>
        <w:rPr>
          <w:color w:val="000000"/>
          <w:szCs w:val="21"/>
        </w:rPr>
        <w:t>子元素</w:t>
      </w:r>
      <w:r>
        <w:rPr>
          <w:color w:val="000000"/>
          <w:szCs w:val="21"/>
        </w:rPr>
        <w:t>cfid-common: GaiPingZhuangTai</w:t>
      </w:r>
      <w:r>
        <w:rPr>
          <w:color w:val="000000"/>
          <w:szCs w:val="21"/>
        </w:rPr>
        <w:t>取改聘前值来区分</w:t>
      </w:r>
      <w:r>
        <w:rPr>
          <w:rFonts w:hint="eastAsia"/>
          <w:color w:val="000000"/>
          <w:szCs w:val="21"/>
        </w:rPr>
        <w:t>，需</w:t>
      </w:r>
      <w:r>
        <w:rPr>
          <w:color w:val="000000"/>
          <w:szCs w:val="21"/>
        </w:rPr>
        <w:t>特别注意的是，</w:t>
      </w:r>
      <w:r>
        <w:rPr>
          <w:rFonts w:hint="eastAsia"/>
          <w:color w:val="000000"/>
          <w:szCs w:val="21"/>
        </w:rPr>
        <w:t>不可</w:t>
      </w:r>
      <w:r>
        <w:rPr>
          <w:color w:val="000000"/>
          <w:szCs w:val="21"/>
        </w:rPr>
        <w:t>使用</w:t>
      </w:r>
      <w:r>
        <w:rPr>
          <w:color w:val="000000"/>
          <w:szCs w:val="21"/>
        </w:rPr>
        <w:t>scenario</w:t>
      </w:r>
      <w:r>
        <w:rPr>
          <w:color w:val="000000"/>
          <w:szCs w:val="21"/>
        </w:rPr>
        <w:t>子元素</w:t>
      </w:r>
      <w:r>
        <w:rPr>
          <w:color w:val="000000"/>
          <w:szCs w:val="21"/>
        </w:rPr>
        <w:t xml:space="preserve">cfid-common: </w:t>
      </w:r>
      <w:r>
        <w:rPr>
          <w:rFonts w:eastAsia="楷体_GB2312"/>
          <w:color w:val="000000"/>
        </w:rPr>
        <w:t>BianGengZhuangTai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披露。</w:t>
      </w:r>
    </w:p>
    <w:p w14:paraId="6615B3BF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699D9D5F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6" w:name="_注意事项"/>
      <w:bookmarkStart w:id="7" w:name="_Toc327434690"/>
      <w:bookmarkStart w:id="8" w:name="_Toc202611298"/>
      <w:bookmarkEnd w:id="6"/>
      <w:r>
        <w:rPr>
          <w:bCs w:val="0"/>
          <w:color w:val="000000"/>
          <w:kern w:val="2"/>
          <w:sz w:val="32"/>
          <w:szCs w:val="24"/>
        </w:rPr>
        <w:t>文件命名规则</w:t>
      </w:r>
      <w:bookmarkEnd w:id="7"/>
    </w:p>
    <w:p w14:paraId="5EAB306F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文件命名规则采用和基金定期报告类似的命名方式：</w:t>
      </w:r>
    </w:p>
    <w:p w14:paraId="686DF3E1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 w:val="24"/>
        </w:rPr>
      </w:pPr>
      <w:r>
        <w:rPr>
          <w:color w:val="000000"/>
          <w:sz w:val="24"/>
        </w:rPr>
        <w:t>CN_</w:t>
      </w:r>
      <w:r>
        <w:rPr>
          <w:color w:val="000000"/>
          <w:sz w:val="24"/>
        </w:rPr>
        <w:t>信息披露义务人代码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基金代码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公告类型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公告编号</w:t>
      </w:r>
      <w:r>
        <w:rPr>
          <w:color w:val="000000"/>
          <w:sz w:val="24"/>
        </w:rPr>
        <w:t>.xml</w:t>
      </w:r>
    </w:p>
    <w:p w14:paraId="5D31EB9C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 w:val="24"/>
        </w:rPr>
      </w:pPr>
      <w:r>
        <w:rPr>
          <w:color w:val="000000"/>
          <w:sz w:val="24"/>
        </w:rPr>
        <w:t>基金代码：若以基金公司为主体进行信息披露，没有指定的基金，则此处填写</w:t>
      </w:r>
      <w:r>
        <w:rPr>
          <w:color w:val="000000"/>
          <w:sz w:val="24"/>
        </w:rPr>
        <w:t>“NOTICE”</w:t>
      </w:r>
      <w:r>
        <w:rPr>
          <w:color w:val="000000"/>
          <w:sz w:val="24"/>
        </w:rPr>
        <w:t>。</w:t>
      </w:r>
    </w:p>
    <w:p w14:paraId="5F289696" w14:textId="77777777" w:rsidR="005572B9" w:rsidRDefault="005572B9">
      <w:pPr>
        <w:widowControl/>
        <w:snapToGrid w:val="0"/>
        <w:spacing w:line="360" w:lineRule="auto"/>
        <w:ind w:left="420" w:firstLine="420"/>
        <w:rPr>
          <w:color w:val="000000"/>
          <w:sz w:val="24"/>
        </w:rPr>
      </w:pPr>
      <w:r>
        <w:rPr>
          <w:color w:val="000000"/>
          <w:sz w:val="24"/>
        </w:rPr>
        <w:t>公告类型：参照下表填写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1080"/>
        <w:gridCol w:w="6835"/>
      </w:tblGrid>
      <w:tr w:rsidR="005572B9" w14:paraId="143F5B41" w14:textId="77777777">
        <w:trPr>
          <w:cantSplit/>
          <w:trHeight w:val="158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ED4E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  <w:r>
              <w:rPr>
                <w:b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10DA9FE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  <w:r>
              <w:rPr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5572B9" w14:paraId="0D7DD5B3" w14:textId="77777777">
        <w:trPr>
          <w:cantSplit/>
          <w:trHeight w:val="15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8841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  <w:r>
              <w:rPr>
                <w:b/>
                <w:color w:val="000000"/>
                <w:kern w:val="0"/>
                <w:sz w:val="18"/>
                <w:szCs w:val="18"/>
              </w:rPr>
              <w:t>大类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415EE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  <w:r>
              <w:rPr>
                <w:b/>
                <w:color w:val="000000"/>
                <w:kern w:val="0"/>
                <w:sz w:val="18"/>
                <w:szCs w:val="18"/>
              </w:rPr>
              <w:t>中类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A3003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  <w:r>
              <w:rPr>
                <w:b/>
                <w:color w:val="000000"/>
                <w:kern w:val="0"/>
                <w:sz w:val="18"/>
                <w:szCs w:val="18"/>
              </w:rPr>
              <w:t>小类</w:t>
            </w:r>
          </w:p>
        </w:tc>
        <w:tc>
          <w:tcPr>
            <w:tcW w:w="6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0DA26" w14:textId="77777777" w:rsidR="005572B9" w:rsidRDefault="005572B9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572B9" w14:paraId="456997BA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BEB1A" w14:textId="77777777" w:rsidR="005572B9" w:rsidRDefault="005572B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70B5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A68E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792DB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基金募集信息披露</w:t>
            </w:r>
          </w:p>
        </w:tc>
      </w:tr>
      <w:tr w:rsidR="005572B9" w14:paraId="62DAB75F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E8EF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E7B4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FA050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B665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32AB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基金合同生效公告</w:t>
            </w:r>
          </w:p>
        </w:tc>
      </w:tr>
      <w:tr w:rsidR="005572B9" w14:paraId="66E4B069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9B23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F99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F2CD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FA050010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7E7C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基金合同生效公告</w:t>
            </w:r>
          </w:p>
        </w:tc>
      </w:tr>
      <w:tr w:rsidR="005572B9" w14:paraId="35FF6027" w14:textId="77777777">
        <w:trPr>
          <w:trHeight w:val="2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09F8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51A1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D88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A6E8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基金临时信息披露</w:t>
            </w:r>
          </w:p>
        </w:tc>
      </w:tr>
      <w:tr w:rsidR="005572B9" w14:paraId="44A86BC3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87E9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A9E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B88C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A811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基金管理人、基金托管人的法定名称、住所发生变更</w:t>
            </w:r>
          </w:p>
        </w:tc>
      </w:tr>
      <w:tr w:rsidR="005572B9" w14:paraId="6004F085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AE81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6827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6D27D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FC070030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5CA0B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基金管理人的法定名称、住所发生变更的公告</w:t>
            </w:r>
          </w:p>
        </w:tc>
      </w:tr>
      <w:tr w:rsidR="005572B9" w14:paraId="1B7969C9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C0711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7EE7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43C8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FC070040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ACBB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基金托管人的法定名称、住所发生变更的公告</w:t>
            </w:r>
          </w:p>
        </w:tc>
      </w:tr>
      <w:tr w:rsidR="005572B9" w14:paraId="756232D0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C146C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22E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4C6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2375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基金管理人、基金托管人重要人员变动</w:t>
            </w:r>
          </w:p>
        </w:tc>
      </w:tr>
      <w:tr w:rsidR="005572B9" w14:paraId="7D9EA4EF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43B7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A1F4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E682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FC100050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E116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基金经理变更公告</w:t>
            </w:r>
          </w:p>
        </w:tc>
      </w:tr>
      <w:tr w:rsidR="005572B9" w14:paraId="5EED0B05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A631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7D2A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291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FC100110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F15C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基金高级管理人员变更公告</w:t>
            </w:r>
          </w:p>
        </w:tc>
      </w:tr>
      <w:tr w:rsidR="005572B9" w14:paraId="3064F289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CAC4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A54D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4D02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FC100120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18C0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基金托管银行基金托管部门的负责人变更公告</w:t>
            </w:r>
          </w:p>
        </w:tc>
      </w:tr>
      <w:tr w:rsidR="005572B9" w14:paraId="55B9096A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9390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916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0817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3E36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涉及基金的调查、诉讼</w:t>
            </w:r>
          </w:p>
        </w:tc>
      </w:tr>
      <w:tr w:rsidR="005572B9" w14:paraId="7B578A19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B1D8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8546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9D7A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FC110010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2969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涉及基金管理公司诉讼的公告</w:t>
            </w:r>
          </w:p>
        </w:tc>
      </w:tr>
      <w:tr w:rsidR="005572B9" w14:paraId="7C6AC84A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9D53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5B42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D7B8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FC110040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90D2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涉及基金财产诉讼的公告</w:t>
            </w:r>
          </w:p>
        </w:tc>
      </w:tr>
      <w:tr w:rsidR="005572B9" w14:paraId="0C723095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BC6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2056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5CEF4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FC110050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1499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涉及基金托管业务诉讼的公告</w:t>
            </w:r>
          </w:p>
        </w:tc>
      </w:tr>
      <w:tr w:rsidR="005572B9" w14:paraId="1C20D71B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E731D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2CEB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2132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4DD7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基金收益分配事项</w:t>
            </w:r>
          </w:p>
        </w:tc>
      </w:tr>
      <w:tr w:rsidR="005572B9" w14:paraId="5C87D6D5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8D51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49D1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C4ABC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FC130050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E90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非货币市场基金分红公告</w:t>
            </w:r>
          </w:p>
        </w:tc>
      </w:tr>
      <w:tr w:rsidR="005572B9" w14:paraId="7A1125AA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99E0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0DEB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00B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FC130060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B44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货币市场基金收益支付公告</w:t>
            </w:r>
          </w:p>
        </w:tc>
      </w:tr>
      <w:tr w:rsidR="005572B9" w14:paraId="02602954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E01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E3F1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06BB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048A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基金份额、资产净值错误达基金份额、资产净值百分之零点五</w:t>
            </w:r>
          </w:p>
        </w:tc>
      </w:tr>
      <w:tr w:rsidR="005572B9" w14:paraId="7E46C2CF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E3C41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FA610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A45F5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FC150010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A82C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基金份额净值计价错误公告</w:t>
            </w:r>
          </w:p>
        </w:tc>
      </w:tr>
      <w:tr w:rsidR="005572B9" w14:paraId="03CFE08A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C6ED7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520D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F5B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FC150030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7A77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货币市场基金偏离度绝对值达到</w:t>
            </w:r>
            <w:r>
              <w:rPr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color w:val="000000"/>
                <w:kern w:val="0"/>
                <w:sz w:val="18"/>
                <w:szCs w:val="18"/>
              </w:rPr>
              <w:t>超过</w:t>
            </w:r>
            <w:r>
              <w:rPr>
                <w:color w:val="000000"/>
                <w:kern w:val="0"/>
                <w:sz w:val="18"/>
                <w:szCs w:val="18"/>
              </w:rPr>
              <w:t>0.5</w:t>
            </w:r>
            <w:r>
              <w:rPr>
                <w:color w:val="000000"/>
                <w:kern w:val="0"/>
                <w:sz w:val="18"/>
                <w:szCs w:val="18"/>
              </w:rPr>
              <w:t>％公告</w:t>
            </w:r>
          </w:p>
        </w:tc>
      </w:tr>
      <w:tr w:rsidR="005572B9" w14:paraId="79B4BC6C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C7F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5A45B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EE51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84E3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基金改聘会计师事务所</w:t>
            </w:r>
          </w:p>
        </w:tc>
      </w:tr>
      <w:tr w:rsidR="005572B9" w14:paraId="052C3EF2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D71C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27A3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68BA8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FC170010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88E69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基金改聘会计师事务所公告</w:t>
            </w:r>
          </w:p>
        </w:tc>
      </w:tr>
      <w:tr w:rsidR="005572B9" w14:paraId="05E5DCA3" w14:textId="77777777">
        <w:trPr>
          <w:trHeight w:val="2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77381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6C81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FC190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63AD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B73C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开放式基金申购与赎回</w:t>
            </w:r>
          </w:p>
        </w:tc>
      </w:tr>
      <w:tr w:rsidR="005572B9" w14:paraId="68E07FBF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DFAE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729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28C2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FC190090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A8300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基金开放日常申购（、赎回、转换、定期定额投资）业务公告</w:t>
            </w:r>
          </w:p>
        </w:tc>
      </w:tr>
      <w:tr w:rsidR="005572B9" w14:paraId="58A5324C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91C00C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8130EC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3EC02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FC190100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5E59BA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基金暂停（大额）申购（、转换转入、赎回、转换转出、定期定额投资）公告</w:t>
            </w:r>
          </w:p>
        </w:tc>
      </w:tr>
      <w:tr w:rsidR="005572B9" w14:paraId="10777858" w14:textId="77777777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785DE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783F1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9CC6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FC190110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44B3F" w14:textId="77777777" w:rsidR="005572B9" w:rsidRDefault="005572B9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基金恢复（大额）申购（、转换转入、赎回、转换转出、定期定额投资）公告</w:t>
            </w:r>
          </w:p>
        </w:tc>
      </w:tr>
    </w:tbl>
    <w:p w14:paraId="5250943F" w14:textId="77777777" w:rsidR="005572B9" w:rsidRDefault="005572B9">
      <w:pPr>
        <w:rPr>
          <w:color w:val="000000"/>
        </w:rPr>
      </w:pPr>
    </w:p>
    <w:p w14:paraId="78540B47" w14:textId="77777777" w:rsidR="005572B9" w:rsidRDefault="005572B9">
      <w:pPr>
        <w:widowControl/>
        <w:snapToGrid w:val="0"/>
        <w:spacing w:line="360" w:lineRule="auto"/>
        <w:ind w:left="360" w:firstLine="420"/>
        <w:rPr>
          <w:color w:val="000000"/>
          <w:sz w:val="24"/>
        </w:rPr>
      </w:pPr>
      <w:r>
        <w:rPr>
          <w:color w:val="000000"/>
          <w:sz w:val="24"/>
        </w:rPr>
        <w:t>公告编号：前四位为公告年份，如：</w:t>
      </w:r>
      <w:r>
        <w:rPr>
          <w:color w:val="000000"/>
          <w:sz w:val="24"/>
        </w:rPr>
        <w:t>“2009”</w:t>
      </w:r>
      <w:r>
        <w:rPr>
          <w:color w:val="000000"/>
          <w:sz w:val="24"/>
        </w:rPr>
        <w:t>，后四位为本基金（</w:t>
      </w:r>
      <w:r>
        <w:rPr>
          <w:color w:val="000000"/>
          <w:sz w:val="24"/>
        </w:rPr>
        <w:t>or</w:t>
      </w:r>
      <w:r>
        <w:rPr>
          <w:color w:val="000000"/>
          <w:sz w:val="24"/>
        </w:rPr>
        <w:t>基金公司、托管行）本年度所发布公告（包含定期公告、临时公告，但不包含基金净值公告）的顺序号。</w:t>
      </w:r>
    </w:p>
    <w:bookmarkEnd w:id="8"/>
    <w:p w14:paraId="4B418D31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2CD267F2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" w:name="_Toc327434691"/>
      <w:r>
        <w:rPr>
          <w:bCs w:val="0"/>
          <w:color w:val="000000"/>
          <w:kern w:val="2"/>
          <w:sz w:val="32"/>
          <w:szCs w:val="24"/>
        </w:rPr>
        <w:t>必填元素</w:t>
      </w:r>
      <w:bookmarkEnd w:id="9"/>
    </w:p>
    <w:p w14:paraId="1EEA6BE8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）为了方便基金公司、托管行对实例文档的处理，现要求在实例文档制作时增加如下元素（实际对外披露以模板为准，不必披露新增元素信息）：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87"/>
        <w:gridCol w:w="1236"/>
        <w:gridCol w:w="1987"/>
        <w:gridCol w:w="1240"/>
        <w:gridCol w:w="818"/>
      </w:tblGrid>
      <w:tr w:rsidR="005572B9" w14:paraId="7DECF75D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223A7794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元素名称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380A2981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标签</w:t>
            </w:r>
          </w:p>
        </w:tc>
        <w:tc>
          <w:tcPr>
            <w:tcW w:w="1987" w:type="dxa"/>
            <w:shd w:val="clear" w:color="auto" w:fill="FFFFFF"/>
            <w:vAlign w:val="center"/>
          </w:tcPr>
          <w:p w14:paraId="78E7114D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类型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538FB633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命名空间</w:t>
            </w:r>
          </w:p>
        </w:tc>
        <w:tc>
          <w:tcPr>
            <w:tcW w:w="818" w:type="dxa"/>
            <w:shd w:val="clear" w:color="auto" w:fill="FFFFFF"/>
            <w:vAlign w:val="center"/>
          </w:tcPr>
          <w:p w14:paraId="4B4DACDA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备注</w:t>
            </w:r>
          </w:p>
        </w:tc>
      </w:tr>
      <w:tr w:rsidR="005572B9" w14:paraId="3FA87592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06DAB8A1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JiJinLeiBie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0FE9A61F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基金类别</w:t>
            </w:r>
          </w:p>
        </w:tc>
        <w:tc>
          <w:tcPr>
            <w:tcW w:w="1987" w:type="dxa"/>
            <w:shd w:val="clear" w:color="auto" w:fill="FFFFFF"/>
            <w:vAlign w:val="center"/>
          </w:tcPr>
          <w:p w14:paraId="1196BE7E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stringItemType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5F16A956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cfid-fgi</w:t>
            </w:r>
          </w:p>
        </w:tc>
        <w:tc>
          <w:tcPr>
            <w:tcW w:w="818" w:type="dxa"/>
            <w:shd w:val="clear" w:color="auto" w:fill="FFFFFF"/>
            <w:vAlign w:val="center"/>
          </w:tcPr>
          <w:p w14:paraId="036B1F9D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</w:p>
        </w:tc>
      </w:tr>
    </w:tbl>
    <w:p w14:paraId="3CB329F9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405DF752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）元素取值参照下表，请根据基金的实际情况填写：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923"/>
        <w:gridCol w:w="1500"/>
        <w:gridCol w:w="1316"/>
        <w:gridCol w:w="1112"/>
        <w:gridCol w:w="698"/>
        <w:gridCol w:w="1574"/>
      </w:tblGrid>
      <w:tr w:rsidR="005572B9" w14:paraId="27C6B632" w14:textId="77777777">
        <w:trPr>
          <w:jc w:val="center"/>
        </w:trPr>
        <w:tc>
          <w:tcPr>
            <w:tcW w:w="1243" w:type="dxa"/>
          </w:tcPr>
          <w:p w14:paraId="6FE5D1AA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元素标签</w:t>
            </w:r>
          </w:p>
        </w:tc>
        <w:tc>
          <w:tcPr>
            <w:tcW w:w="4851" w:type="dxa"/>
            <w:gridSpan w:val="4"/>
          </w:tcPr>
          <w:p w14:paraId="5EA94E88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可取的值</w:t>
            </w:r>
          </w:p>
        </w:tc>
        <w:tc>
          <w:tcPr>
            <w:tcW w:w="698" w:type="dxa"/>
          </w:tcPr>
          <w:p w14:paraId="2036A747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</w:p>
        </w:tc>
        <w:tc>
          <w:tcPr>
            <w:tcW w:w="1574" w:type="dxa"/>
          </w:tcPr>
          <w:p w14:paraId="6BBC0989" w14:textId="77777777" w:rsidR="005572B9" w:rsidRDefault="005572B9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</w:p>
        </w:tc>
      </w:tr>
      <w:tr w:rsidR="005572B9" w14:paraId="75538F67" w14:textId="77777777">
        <w:trPr>
          <w:jc w:val="center"/>
        </w:trPr>
        <w:tc>
          <w:tcPr>
            <w:tcW w:w="1243" w:type="dxa"/>
          </w:tcPr>
          <w:p w14:paraId="0D486586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基金类型</w:t>
            </w:r>
            <w:r>
              <w:rPr>
                <w:rFonts w:eastAsia="楷体_GB2312"/>
                <w:color w:val="000000"/>
                <w:szCs w:val="21"/>
              </w:rPr>
              <w:t>*</w:t>
            </w:r>
          </w:p>
        </w:tc>
        <w:tc>
          <w:tcPr>
            <w:tcW w:w="923" w:type="dxa"/>
          </w:tcPr>
          <w:p w14:paraId="2D6B727D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1500" w:type="dxa"/>
          </w:tcPr>
          <w:p w14:paraId="0E13F0B7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</w:p>
        </w:tc>
        <w:tc>
          <w:tcPr>
            <w:tcW w:w="1316" w:type="dxa"/>
          </w:tcPr>
          <w:p w14:paraId="2E066503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开放式货币</w:t>
            </w:r>
          </w:p>
        </w:tc>
        <w:tc>
          <w:tcPr>
            <w:tcW w:w="1112" w:type="dxa"/>
          </w:tcPr>
          <w:p w14:paraId="465DF756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</w:t>
            </w:r>
          </w:p>
        </w:tc>
        <w:tc>
          <w:tcPr>
            <w:tcW w:w="698" w:type="dxa"/>
          </w:tcPr>
          <w:p w14:paraId="1DE67084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QDII</w:t>
            </w:r>
          </w:p>
        </w:tc>
        <w:tc>
          <w:tcPr>
            <w:tcW w:w="1574" w:type="dxa"/>
          </w:tcPr>
          <w:p w14:paraId="2C773C5D" w14:textId="77777777" w:rsidR="005572B9" w:rsidRDefault="005572B9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短期理财债券</w:t>
            </w:r>
          </w:p>
        </w:tc>
      </w:tr>
      <w:bookmarkEnd w:id="2"/>
    </w:tbl>
    <w:p w14:paraId="21B15788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2B77D2A6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）对于无指定基金代码的文档，不必填写基金类别。</w:t>
      </w:r>
    </w:p>
    <w:p w14:paraId="2ED906C4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56E56C96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0" w:name="_Toc327434692"/>
      <w:r>
        <w:rPr>
          <w:bCs w:val="0"/>
          <w:color w:val="000000"/>
          <w:kern w:val="2"/>
          <w:sz w:val="32"/>
          <w:szCs w:val="24"/>
        </w:rPr>
        <w:t>关于在文本类元素中插入图、表格的技术说明</w:t>
      </w:r>
      <w:bookmarkEnd w:id="10"/>
    </w:p>
    <w:p w14:paraId="3A839919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基金公司可以采用如下方法在文本类元素中插入图、表格、列表的</w:t>
      </w:r>
      <w:r>
        <w:rPr>
          <w:color w:val="000000"/>
          <w:sz w:val="24"/>
        </w:rPr>
        <w:t>HTML</w:t>
      </w:r>
      <w:r>
        <w:rPr>
          <w:color w:val="000000"/>
          <w:sz w:val="24"/>
        </w:rPr>
        <w:t>代码，举例如下：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8"/>
      </w:tblGrid>
      <w:tr w:rsidR="005572B9" w14:paraId="472B7F65" w14:textId="77777777">
        <w:trPr>
          <w:jc w:val="center"/>
        </w:trPr>
        <w:tc>
          <w:tcPr>
            <w:tcW w:w="5408" w:type="dxa"/>
          </w:tcPr>
          <w:p w14:paraId="65952F6B" w14:textId="77777777" w:rsidR="005572B9" w:rsidRDefault="005572B9">
            <w:pPr>
              <w:widowControl/>
              <w:spacing w:line="0" w:lineRule="atLeas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,&lt;someelement&gt;</w:t>
            </w:r>
          </w:p>
          <w:p w14:paraId="274905D2" w14:textId="77777777" w:rsidR="005572B9" w:rsidRDefault="005572B9">
            <w:pPr>
              <w:widowControl/>
              <w:spacing w:line="0" w:lineRule="atLeast"/>
              <w:ind w:leftChars="100" w:left="21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&lt;![CDATA[</w:t>
            </w:r>
          </w:p>
          <w:p w14:paraId="37711CFC" w14:textId="77777777" w:rsidR="005572B9" w:rsidRDefault="005572B9">
            <w:pPr>
              <w:widowControl/>
              <w:spacing w:line="0" w:lineRule="atLeast"/>
              <w:ind w:leftChars="200" w:left="42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一些图片说明</w:t>
            </w:r>
          </w:p>
          <w:p w14:paraId="0971C545" w14:textId="77777777" w:rsidR="005572B9" w:rsidRDefault="005572B9">
            <w:pPr>
              <w:widowControl/>
              <w:spacing w:line="0" w:lineRule="atLeast"/>
              <w:ind w:leftChars="200" w:left="42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&lt;img src=”</w:t>
            </w:r>
            <w:r>
              <w:rPr>
                <w:color w:val="000000"/>
                <w:kern w:val="0"/>
                <w:sz w:val="18"/>
                <w:szCs w:val="18"/>
              </w:rPr>
              <w:t>文件名</w:t>
            </w:r>
            <w:r>
              <w:rPr>
                <w:color w:val="000000"/>
                <w:kern w:val="0"/>
                <w:sz w:val="18"/>
                <w:szCs w:val="18"/>
              </w:rPr>
              <w:t>” /&gt;</w:t>
            </w:r>
          </w:p>
          <w:p w14:paraId="6CA993BF" w14:textId="77777777" w:rsidR="005572B9" w:rsidRDefault="005572B9">
            <w:pPr>
              <w:widowControl/>
              <w:spacing w:line="0" w:lineRule="atLeast"/>
              <w:ind w:leftChars="200" w:left="42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一些表格说明</w:t>
            </w:r>
          </w:p>
          <w:p w14:paraId="4096029E" w14:textId="77777777" w:rsidR="005572B9" w:rsidRDefault="005572B9">
            <w:pPr>
              <w:widowControl/>
              <w:spacing w:line="0" w:lineRule="atLeast"/>
              <w:ind w:leftChars="200" w:left="42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&lt;table&gt;</w:t>
            </w:r>
          </w:p>
          <w:p w14:paraId="55EF4788" w14:textId="77777777" w:rsidR="005572B9" w:rsidRDefault="005572B9">
            <w:pPr>
              <w:widowControl/>
              <w:spacing w:line="0" w:lineRule="atLeast"/>
              <w:ind w:leftChars="300" w:left="63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&lt;tr&gt;</w:t>
            </w:r>
          </w:p>
          <w:p w14:paraId="579807F8" w14:textId="77777777" w:rsidR="005572B9" w:rsidRDefault="005572B9">
            <w:pPr>
              <w:widowControl/>
              <w:spacing w:line="0" w:lineRule="atLeast"/>
              <w:ind w:leftChars="400" w:left="84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lastRenderedPageBreak/>
              <w:t>&lt;th&gt;</w:t>
            </w:r>
            <w:r>
              <w:rPr>
                <w:color w:val="000000"/>
                <w:kern w:val="0"/>
                <w:sz w:val="18"/>
                <w:szCs w:val="18"/>
              </w:rPr>
              <w:t>表头</w:t>
            </w:r>
            <w:r>
              <w:rPr>
                <w:color w:val="000000"/>
                <w:kern w:val="0"/>
                <w:sz w:val="18"/>
                <w:szCs w:val="18"/>
              </w:rPr>
              <w:t>1&lt;/th&gt;&lt;th&gt;</w:t>
            </w:r>
            <w:r>
              <w:rPr>
                <w:color w:val="000000"/>
                <w:kern w:val="0"/>
                <w:sz w:val="18"/>
                <w:szCs w:val="18"/>
              </w:rPr>
              <w:t>表头</w:t>
            </w:r>
            <w:r>
              <w:rPr>
                <w:color w:val="000000"/>
                <w:kern w:val="0"/>
                <w:sz w:val="18"/>
                <w:szCs w:val="18"/>
              </w:rPr>
              <w:t>2&lt;/th&gt;&lt;th&gt;</w:t>
            </w:r>
            <w:r>
              <w:rPr>
                <w:color w:val="000000"/>
                <w:kern w:val="0"/>
                <w:sz w:val="18"/>
                <w:szCs w:val="18"/>
              </w:rPr>
              <w:t>表头</w:t>
            </w:r>
            <w:r>
              <w:rPr>
                <w:color w:val="000000"/>
                <w:kern w:val="0"/>
                <w:sz w:val="18"/>
                <w:szCs w:val="18"/>
              </w:rPr>
              <w:t>3&lt;/th&gt;</w:t>
            </w:r>
          </w:p>
          <w:p w14:paraId="7E768D95" w14:textId="77777777" w:rsidR="005572B9" w:rsidRDefault="005572B9">
            <w:pPr>
              <w:widowControl/>
              <w:spacing w:line="0" w:lineRule="atLeast"/>
              <w:ind w:leftChars="300" w:left="63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&lt;/tr&gt;</w:t>
            </w:r>
          </w:p>
          <w:p w14:paraId="25227AD3" w14:textId="77777777" w:rsidR="005572B9" w:rsidRDefault="005572B9">
            <w:pPr>
              <w:widowControl/>
              <w:spacing w:line="0" w:lineRule="atLeast"/>
              <w:ind w:leftChars="300" w:left="63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&lt;tr&gt;</w:t>
            </w:r>
          </w:p>
          <w:p w14:paraId="36CEC77F" w14:textId="77777777" w:rsidR="005572B9" w:rsidRDefault="005572B9">
            <w:pPr>
              <w:widowControl/>
              <w:spacing w:line="0" w:lineRule="atLeast"/>
              <w:ind w:leftChars="400" w:left="84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&lt;td&gt;A&lt;/td&gt;&lt;td&gt;B&lt;/td&gt;&lt;td&gt;C&lt;/td&gt;</w:t>
            </w:r>
          </w:p>
          <w:p w14:paraId="35C81A9F" w14:textId="77777777" w:rsidR="005572B9" w:rsidRDefault="005572B9">
            <w:pPr>
              <w:widowControl/>
              <w:spacing w:line="0" w:lineRule="atLeast"/>
              <w:ind w:leftChars="300" w:left="63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&lt;/tr&gt;</w:t>
            </w:r>
          </w:p>
          <w:p w14:paraId="58B2042D" w14:textId="77777777" w:rsidR="005572B9" w:rsidRDefault="005572B9">
            <w:pPr>
              <w:widowControl/>
              <w:spacing w:line="0" w:lineRule="atLeast"/>
              <w:ind w:leftChars="200" w:left="42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&lt;/table&gt;</w:t>
            </w:r>
          </w:p>
          <w:p w14:paraId="405717F3" w14:textId="77777777" w:rsidR="005572B9" w:rsidRDefault="005572B9">
            <w:pPr>
              <w:widowControl/>
              <w:spacing w:line="0" w:lineRule="atLeast"/>
              <w:ind w:leftChars="100" w:left="21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]]&gt; </w:t>
            </w:r>
          </w:p>
          <w:p w14:paraId="683EAACE" w14:textId="77777777" w:rsidR="005572B9" w:rsidRDefault="005572B9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&lt;/someelement&gt;</w:t>
            </w:r>
          </w:p>
        </w:tc>
      </w:tr>
    </w:tbl>
    <w:p w14:paraId="6AC3285F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lastRenderedPageBreak/>
        <w:t>注意：</w:t>
      </w:r>
    </w:p>
    <w:p w14:paraId="5BF0A6D1" w14:textId="77777777" w:rsidR="005572B9" w:rsidRDefault="005572B9">
      <w:pPr>
        <w:widowControl/>
        <w:numPr>
          <w:ilvl w:val="0"/>
          <w:numId w:val="3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请尽量减少</w:t>
      </w:r>
      <w:r>
        <w:rPr>
          <w:color w:val="000000"/>
          <w:sz w:val="24"/>
        </w:rPr>
        <w:t>HTML</w:t>
      </w:r>
      <w:r>
        <w:rPr>
          <w:color w:val="000000"/>
          <w:sz w:val="24"/>
        </w:rPr>
        <w:t>标记的使用；</w:t>
      </w:r>
    </w:p>
    <w:p w14:paraId="3A3C85C1" w14:textId="77777777" w:rsidR="005572B9" w:rsidRDefault="005572B9">
      <w:pPr>
        <w:widowControl/>
        <w:numPr>
          <w:ilvl w:val="0"/>
          <w:numId w:val="3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请尽量将使用的</w:t>
      </w:r>
      <w:r>
        <w:rPr>
          <w:color w:val="000000"/>
          <w:sz w:val="24"/>
        </w:rPr>
        <w:t>HTML</w:t>
      </w:r>
      <w:r>
        <w:rPr>
          <w:color w:val="000000"/>
          <w:sz w:val="24"/>
        </w:rPr>
        <w:t>标记限制在图片、表格、列表的范围内；</w:t>
      </w:r>
    </w:p>
    <w:p w14:paraId="3EE4112F" w14:textId="77777777" w:rsidR="005572B9" w:rsidRDefault="005572B9">
      <w:pPr>
        <w:widowControl/>
        <w:numPr>
          <w:ilvl w:val="0"/>
          <w:numId w:val="3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请不要使用格式设置类的</w:t>
      </w:r>
      <w:r>
        <w:rPr>
          <w:color w:val="000000"/>
          <w:sz w:val="24"/>
        </w:rPr>
        <w:t>HTML</w:t>
      </w:r>
      <w:r>
        <w:rPr>
          <w:color w:val="000000"/>
          <w:sz w:val="24"/>
        </w:rPr>
        <w:t>标记，如</w:t>
      </w:r>
      <w:r>
        <w:rPr>
          <w:color w:val="000000"/>
          <w:sz w:val="24"/>
        </w:rPr>
        <w:t>Font</w:t>
      </w:r>
      <w:r>
        <w:rPr>
          <w:color w:val="000000"/>
          <w:sz w:val="24"/>
        </w:rPr>
        <w:t>；</w:t>
      </w:r>
    </w:p>
    <w:p w14:paraId="4E740A45" w14:textId="77777777" w:rsidR="005572B9" w:rsidRDefault="005572B9">
      <w:pPr>
        <w:widowControl/>
        <w:numPr>
          <w:ilvl w:val="0"/>
          <w:numId w:val="3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请在使用</w:t>
      </w:r>
      <w:r>
        <w:rPr>
          <w:color w:val="000000"/>
          <w:sz w:val="24"/>
        </w:rPr>
        <w:t>HTML</w:t>
      </w:r>
      <w:r>
        <w:rPr>
          <w:color w:val="000000"/>
          <w:sz w:val="24"/>
        </w:rPr>
        <w:t>标记时，将标记书写完整；</w:t>
      </w:r>
    </w:p>
    <w:p w14:paraId="54BADCDF" w14:textId="77777777" w:rsidR="005572B9" w:rsidRDefault="005572B9">
      <w:pPr>
        <w:widowControl/>
        <w:numPr>
          <w:ilvl w:val="0"/>
          <w:numId w:val="3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请将所需要展示的图片，按照《技术指引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号》第</w:t>
      </w:r>
      <w:r>
        <w:rPr>
          <w:color w:val="000000"/>
          <w:sz w:val="24"/>
        </w:rPr>
        <w:t>9</w:t>
      </w:r>
      <w:r>
        <w:rPr>
          <w:color w:val="000000"/>
          <w:sz w:val="24"/>
        </w:rPr>
        <w:t>条要求进行命名，并放入打包文件。</w:t>
      </w:r>
    </w:p>
    <w:p w14:paraId="1FB82EC1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1" w:name="_Toc327434693"/>
      <w:r>
        <w:rPr>
          <w:bCs w:val="0"/>
          <w:color w:val="000000"/>
          <w:kern w:val="2"/>
          <w:sz w:val="32"/>
          <w:szCs w:val="24"/>
        </w:rPr>
        <w:t>关于基金主代码</w:t>
      </w:r>
      <w:bookmarkEnd w:id="11"/>
    </w:p>
    <w:p w14:paraId="77E6707C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临时公告模板中多处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基金主代码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均标引为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0012</w:t>
      </w:r>
      <w:r>
        <w:rPr>
          <w:color w:val="000000"/>
          <w:kern w:val="0"/>
          <w:sz w:val="18"/>
        </w:rPr>
        <w:t>）</w:t>
      </w:r>
      <w:r>
        <w:rPr>
          <w:color w:val="000000"/>
          <w:kern w:val="0"/>
          <w:sz w:val="18"/>
        </w:rPr>
        <w:t>/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0014</w:t>
      </w:r>
      <w:r>
        <w:rPr>
          <w:color w:val="000000"/>
          <w:kern w:val="0"/>
          <w:sz w:val="18"/>
        </w:rPr>
        <w:t>）</w:t>
      </w:r>
      <w:r>
        <w:rPr>
          <w:color w:val="000000"/>
          <w:kern w:val="0"/>
          <w:sz w:val="18"/>
        </w:rPr>
        <w:t>/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0015</w:t>
      </w:r>
      <w:r>
        <w:rPr>
          <w:color w:val="000000"/>
          <w:kern w:val="0"/>
          <w:sz w:val="18"/>
        </w:rPr>
        <w:t>）</w:t>
      </w:r>
      <w:r>
        <w:rPr>
          <w:color w:val="000000"/>
          <w:sz w:val="24"/>
        </w:rPr>
        <w:t>，实际操作中，只需要填写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0012</w:t>
      </w:r>
      <w:r>
        <w:rPr>
          <w:color w:val="000000"/>
          <w:kern w:val="0"/>
          <w:sz w:val="18"/>
        </w:rPr>
        <w:t>）</w:t>
      </w:r>
      <w:r>
        <w:rPr>
          <w:color w:val="000000"/>
          <w:sz w:val="24"/>
        </w:rPr>
        <w:t>。如果业务上需要明确表示前后端收费代码，可以利用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0014</w:t>
      </w:r>
      <w:r>
        <w:rPr>
          <w:color w:val="000000"/>
          <w:kern w:val="0"/>
          <w:sz w:val="18"/>
        </w:rPr>
        <w:t>）</w:t>
      </w:r>
      <w:r>
        <w:rPr>
          <w:color w:val="000000"/>
          <w:kern w:val="0"/>
          <w:sz w:val="18"/>
        </w:rPr>
        <w:t>/</w:t>
      </w:r>
      <w:r>
        <w:rPr>
          <w:color w:val="000000"/>
          <w:kern w:val="0"/>
          <w:sz w:val="18"/>
        </w:rPr>
        <w:t>（</w:t>
      </w:r>
      <w:r>
        <w:rPr>
          <w:color w:val="000000"/>
          <w:kern w:val="0"/>
          <w:sz w:val="18"/>
        </w:rPr>
        <w:t>0015</w:t>
      </w:r>
      <w:r>
        <w:rPr>
          <w:color w:val="000000"/>
          <w:kern w:val="0"/>
          <w:sz w:val="18"/>
        </w:rPr>
        <w:t>）</w:t>
      </w:r>
      <w:r>
        <w:rPr>
          <w:color w:val="000000"/>
          <w:sz w:val="24"/>
        </w:rPr>
        <w:t>元素。</w:t>
      </w:r>
    </w:p>
    <w:p w14:paraId="5E764519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7A45BA41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2" w:name="_Toc327434694"/>
      <w:r>
        <w:rPr>
          <w:bCs w:val="0"/>
          <w:color w:val="000000"/>
          <w:kern w:val="2"/>
          <w:sz w:val="32"/>
          <w:szCs w:val="24"/>
        </w:rPr>
        <w:t>关于申购费率、赎回费率的填写</w:t>
      </w:r>
      <w:bookmarkEnd w:id="12"/>
    </w:p>
    <w:p w14:paraId="60073836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在申购费率、赎回费率中，我们对限制条件进行了详细标引，详细内容请见元素清单，要求如下：</w:t>
      </w:r>
    </w:p>
    <w:p w14:paraId="10045F57" w14:textId="77777777" w:rsidR="005572B9" w:rsidRDefault="005572B9">
      <w:pPr>
        <w:widowControl/>
        <w:numPr>
          <w:ilvl w:val="0"/>
          <w:numId w:val="4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对于上下限符号，请使用半角字符，如：</w:t>
      </w:r>
      <w:r>
        <w:rPr>
          <w:color w:val="000000"/>
          <w:sz w:val="24"/>
        </w:rPr>
        <w:t>“&lt;”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“&lt;=”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“&gt;”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“&gt;=”</w:t>
      </w:r>
    </w:p>
    <w:p w14:paraId="12CA396A" w14:textId="77777777" w:rsidR="005572B9" w:rsidRDefault="005572B9">
      <w:pPr>
        <w:widowControl/>
        <w:numPr>
          <w:ilvl w:val="0"/>
          <w:numId w:val="4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对于费率单位，可按需要填写，如：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百分比</w:t>
      </w:r>
      <w:r w:rsidR="00C664B9">
        <w:rPr>
          <w:rFonts w:hint="eastAsia"/>
          <w:color w:val="000000"/>
          <w:sz w:val="24"/>
        </w:rPr>
        <w:t>”</w:t>
      </w:r>
      <w:r>
        <w:rPr>
          <w:color w:val="000000"/>
          <w:sz w:val="24"/>
        </w:rPr>
        <w:t>，</w:t>
      </w:r>
      <w:r>
        <w:rPr>
          <w:color w:val="000000"/>
          <w:sz w:val="24"/>
        </w:rPr>
        <w:t>“</w:t>
      </w:r>
      <w:r w:rsidR="00C664B9">
        <w:rPr>
          <w:color w:val="000000"/>
          <w:sz w:val="24"/>
        </w:rPr>
        <w:t>xx</w:t>
      </w:r>
      <w:r>
        <w:rPr>
          <w:color w:val="000000"/>
          <w:sz w:val="24"/>
        </w:rPr>
        <w:t>元</w:t>
      </w:r>
      <w:r>
        <w:rPr>
          <w:color w:val="000000"/>
          <w:sz w:val="24"/>
        </w:rPr>
        <w:t>/</w:t>
      </w:r>
      <w:r>
        <w:rPr>
          <w:color w:val="000000"/>
          <w:sz w:val="24"/>
        </w:rPr>
        <w:t>笔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。其中若为百分比，则费率值直接填小数</w:t>
      </w:r>
      <w:r w:rsidR="00C664B9">
        <w:rPr>
          <w:rFonts w:hint="eastAsia"/>
          <w:color w:val="000000"/>
          <w:sz w:val="24"/>
        </w:rPr>
        <w:t>；若</w:t>
      </w:r>
      <w:r w:rsidR="00C664B9">
        <w:rPr>
          <w:color w:val="000000"/>
          <w:sz w:val="24"/>
        </w:rPr>
        <w:t>为</w:t>
      </w:r>
      <w:r w:rsidR="00C664B9">
        <w:rPr>
          <w:color w:val="000000"/>
          <w:sz w:val="24"/>
        </w:rPr>
        <w:t>“</w:t>
      </w:r>
      <w:r w:rsidR="00C664B9">
        <w:rPr>
          <w:color w:val="000000"/>
          <w:sz w:val="24"/>
        </w:rPr>
        <w:t>元</w:t>
      </w:r>
      <w:r w:rsidR="00C664B9">
        <w:rPr>
          <w:color w:val="000000"/>
          <w:sz w:val="24"/>
        </w:rPr>
        <w:t>/</w:t>
      </w:r>
      <w:r w:rsidR="00C664B9">
        <w:rPr>
          <w:color w:val="000000"/>
          <w:sz w:val="24"/>
        </w:rPr>
        <w:t>笔</w:t>
      </w:r>
      <w:r w:rsidR="00C664B9">
        <w:rPr>
          <w:color w:val="000000"/>
          <w:sz w:val="24"/>
        </w:rPr>
        <w:t>”</w:t>
      </w:r>
      <w:r w:rsidR="00C664B9">
        <w:rPr>
          <w:rFonts w:hint="eastAsia"/>
          <w:color w:val="000000"/>
          <w:sz w:val="24"/>
        </w:rPr>
        <w:t>，</w:t>
      </w:r>
      <w:r w:rsidR="00C664B9">
        <w:rPr>
          <w:color w:val="000000"/>
          <w:sz w:val="24"/>
        </w:rPr>
        <w:t>则直接在费率单位中填写具体信息</w:t>
      </w:r>
      <w:r w:rsidR="00C664B9">
        <w:rPr>
          <w:rFonts w:hint="eastAsia"/>
          <w:color w:val="000000"/>
          <w:sz w:val="24"/>
        </w:rPr>
        <w:t>，不在费率值中填写数值等内容。</w:t>
      </w:r>
      <w:r>
        <w:rPr>
          <w:color w:val="000000"/>
          <w:sz w:val="24"/>
        </w:rPr>
        <w:t>（例：费率为</w:t>
      </w:r>
      <w:r>
        <w:rPr>
          <w:color w:val="000000"/>
          <w:sz w:val="24"/>
        </w:rPr>
        <w:t>1%</w:t>
      </w:r>
      <w:r>
        <w:rPr>
          <w:color w:val="000000"/>
          <w:sz w:val="24"/>
        </w:rPr>
        <w:t>，则在费率值中填写</w:t>
      </w:r>
      <w:r>
        <w:rPr>
          <w:color w:val="000000"/>
          <w:sz w:val="24"/>
        </w:rPr>
        <w:t>“0.01”</w:t>
      </w:r>
      <w:r>
        <w:rPr>
          <w:color w:val="000000"/>
          <w:sz w:val="24"/>
        </w:rPr>
        <w:t>，在单位中填写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百分比</w:t>
      </w:r>
      <w:r>
        <w:rPr>
          <w:color w:val="000000"/>
          <w:sz w:val="24"/>
        </w:rPr>
        <w:t>”</w:t>
      </w:r>
      <w:r w:rsidR="00C664B9">
        <w:rPr>
          <w:color w:val="000000"/>
          <w:sz w:val="24"/>
        </w:rPr>
        <w:t>或</w:t>
      </w:r>
      <w:r w:rsidR="00C664B9">
        <w:rPr>
          <w:rFonts w:hint="eastAsia"/>
          <w:color w:val="000000"/>
          <w:sz w:val="24"/>
        </w:rPr>
        <w:t>“</w:t>
      </w:r>
      <w:r w:rsidR="00C664B9">
        <w:rPr>
          <w:rFonts w:hint="eastAsia"/>
          <w:color w:val="000000"/>
          <w:sz w:val="24"/>
        </w:rPr>
        <w:t>%</w:t>
      </w:r>
      <w:r w:rsidR="00C664B9">
        <w:rPr>
          <w:rFonts w:hint="eastAsia"/>
          <w:color w:val="000000"/>
          <w:sz w:val="24"/>
        </w:rPr>
        <w:t>”；费率单位是“</w:t>
      </w:r>
      <w:r w:rsidR="00C664B9">
        <w:rPr>
          <w:color w:val="000000"/>
          <w:sz w:val="24"/>
        </w:rPr>
        <w:t>元</w:t>
      </w:r>
      <w:r w:rsidR="00C664B9">
        <w:rPr>
          <w:color w:val="000000"/>
          <w:sz w:val="24"/>
        </w:rPr>
        <w:t>/</w:t>
      </w:r>
      <w:r w:rsidR="00C664B9">
        <w:rPr>
          <w:color w:val="000000"/>
          <w:sz w:val="24"/>
        </w:rPr>
        <w:t>笔</w:t>
      </w:r>
      <w:r w:rsidR="00C664B9">
        <w:rPr>
          <w:rFonts w:hint="eastAsia"/>
          <w:color w:val="000000"/>
          <w:sz w:val="24"/>
        </w:rPr>
        <w:t>”，则在费率单位中直接填写“按笔收取，</w:t>
      </w:r>
      <w:r w:rsidR="00C664B9">
        <w:rPr>
          <w:rFonts w:hint="eastAsia"/>
          <w:color w:val="000000"/>
          <w:sz w:val="24"/>
        </w:rPr>
        <w:t>500</w:t>
      </w:r>
      <w:r w:rsidR="00C664B9">
        <w:rPr>
          <w:rFonts w:hint="eastAsia"/>
          <w:color w:val="000000"/>
          <w:sz w:val="24"/>
        </w:rPr>
        <w:t>元</w:t>
      </w:r>
      <w:r w:rsidR="00C664B9">
        <w:rPr>
          <w:rFonts w:hint="eastAsia"/>
          <w:color w:val="000000"/>
          <w:sz w:val="24"/>
        </w:rPr>
        <w:t>/</w:t>
      </w:r>
      <w:r w:rsidR="00C664B9">
        <w:rPr>
          <w:rFonts w:hint="eastAsia"/>
          <w:color w:val="000000"/>
          <w:sz w:val="24"/>
        </w:rPr>
        <w:t>笔”、“</w:t>
      </w:r>
      <w:r w:rsidR="00C664B9">
        <w:rPr>
          <w:rFonts w:hint="eastAsia"/>
          <w:color w:val="000000"/>
          <w:sz w:val="24"/>
        </w:rPr>
        <w:t>1000</w:t>
      </w:r>
      <w:r w:rsidR="00C664B9">
        <w:rPr>
          <w:rFonts w:hint="eastAsia"/>
          <w:color w:val="000000"/>
          <w:sz w:val="24"/>
        </w:rPr>
        <w:t>元</w:t>
      </w:r>
      <w:r w:rsidR="00C664B9">
        <w:rPr>
          <w:rFonts w:hint="eastAsia"/>
          <w:color w:val="000000"/>
          <w:sz w:val="24"/>
        </w:rPr>
        <w:t>/</w:t>
      </w:r>
      <w:r w:rsidR="00C664B9">
        <w:rPr>
          <w:rFonts w:hint="eastAsia"/>
          <w:color w:val="000000"/>
          <w:sz w:val="24"/>
        </w:rPr>
        <w:t>笔”等文字信息</w:t>
      </w:r>
      <w:r>
        <w:rPr>
          <w:color w:val="000000"/>
          <w:sz w:val="24"/>
        </w:rPr>
        <w:t>）。</w:t>
      </w:r>
      <w:r w:rsidR="00C664B9">
        <w:rPr>
          <w:color w:val="000000"/>
          <w:sz w:val="24"/>
        </w:rPr>
        <w:t>若均不适用</w:t>
      </w:r>
      <w:r w:rsidR="00C664B9">
        <w:rPr>
          <w:rFonts w:hint="eastAsia"/>
          <w:color w:val="000000"/>
          <w:sz w:val="24"/>
        </w:rPr>
        <w:t>，</w:t>
      </w:r>
      <w:r w:rsidR="00C664B9">
        <w:rPr>
          <w:color w:val="000000"/>
          <w:sz w:val="24"/>
        </w:rPr>
        <w:t>可在备注中直接填写文字描述</w:t>
      </w:r>
      <w:r w:rsidR="00C664B9">
        <w:rPr>
          <w:rFonts w:hint="eastAsia"/>
          <w:color w:val="000000"/>
          <w:sz w:val="24"/>
        </w:rPr>
        <w:t>。</w:t>
      </w:r>
    </w:p>
    <w:p w14:paraId="730962CF" w14:textId="77777777" w:rsidR="005572B9" w:rsidRDefault="005572B9">
      <w:pPr>
        <w:widowControl/>
        <w:numPr>
          <w:ilvl w:val="0"/>
          <w:numId w:val="4"/>
        </w:num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对于持有期限单位，可按需要填写，如：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天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年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。</w:t>
      </w:r>
    </w:p>
    <w:p w14:paraId="4A208E18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对于模板中未规定的事项，请直接在对应的其他说明事项中填写，其中可以插入自定义表格和图片。</w:t>
      </w:r>
    </w:p>
    <w:p w14:paraId="5DF801F6" w14:textId="77777777" w:rsidR="005572B9" w:rsidRDefault="005572B9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3" w:name="_Toc327434695"/>
      <w:r>
        <w:rPr>
          <w:bCs w:val="0"/>
          <w:color w:val="000000"/>
          <w:kern w:val="2"/>
          <w:sz w:val="32"/>
          <w:szCs w:val="24"/>
        </w:rPr>
        <w:lastRenderedPageBreak/>
        <w:t>关于增聘、解聘基金经理，新</w:t>
      </w:r>
      <w:r>
        <w:rPr>
          <w:bCs w:val="0"/>
          <w:color w:val="000000"/>
          <w:kern w:val="2"/>
          <w:sz w:val="32"/>
          <w:szCs w:val="24"/>
        </w:rPr>
        <w:t>/</w:t>
      </w:r>
      <w:r>
        <w:rPr>
          <w:bCs w:val="0"/>
          <w:color w:val="000000"/>
          <w:kern w:val="2"/>
          <w:sz w:val="32"/>
          <w:szCs w:val="24"/>
        </w:rPr>
        <w:t>代任、离任高级管理人员中判断信息的填写方法</w:t>
      </w:r>
      <w:bookmarkEnd w:id="13"/>
    </w:p>
    <w:p w14:paraId="0E703301" w14:textId="77777777" w:rsidR="005572B9" w:rsidRDefault="005572B9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以下信息为系统判断使用，请填写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否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。软件系统可以根据如下信息填写的情况，在最终披露的文稿中按模板脚注的要求自动生成文字说明。</w:t>
      </w:r>
    </w:p>
    <w:tbl>
      <w:tblPr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6"/>
        <w:gridCol w:w="3227"/>
      </w:tblGrid>
      <w:tr w:rsidR="005572B9" w14:paraId="1D5ACBFA" w14:textId="77777777">
        <w:trPr>
          <w:jc w:val="center"/>
        </w:trPr>
        <w:tc>
          <w:tcPr>
            <w:tcW w:w="5436" w:type="dxa"/>
          </w:tcPr>
          <w:p w14:paraId="016171C7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增聘基金经理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2847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12568C8E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1A420F29" w14:textId="77777777">
        <w:trPr>
          <w:jc w:val="center"/>
        </w:trPr>
        <w:tc>
          <w:tcPr>
            <w:tcW w:w="5436" w:type="dxa"/>
          </w:tcPr>
          <w:p w14:paraId="3F4FF120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解聘基金经理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2848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78E23CC3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33440C1F" w14:textId="77777777">
        <w:trPr>
          <w:jc w:val="center"/>
        </w:trPr>
        <w:tc>
          <w:tcPr>
            <w:tcW w:w="5436" w:type="dxa"/>
          </w:tcPr>
          <w:p w14:paraId="734C575B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新任基金管理公司董事长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2849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52C0387E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426BF164" w14:textId="77777777">
        <w:trPr>
          <w:jc w:val="center"/>
        </w:trPr>
        <w:tc>
          <w:tcPr>
            <w:tcW w:w="5436" w:type="dxa"/>
          </w:tcPr>
          <w:p w14:paraId="5491CCA3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代任基金管理公司董事长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2914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78647F13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35DE7322" w14:textId="77777777">
        <w:trPr>
          <w:jc w:val="center"/>
        </w:trPr>
        <w:tc>
          <w:tcPr>
            <w:tcW w:w="5436" w:type="dxa"/>
          </w:tcPr>
          <w:p w14:paraId="42185BF9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离任基金管理公司董事长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2850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3B8D46B5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22A440CC" w14:textId="77777777">
        <w:trPr>
          <w:jc w:val="center"/>
        </w:trPr>
        <w:tc>
          <w:tcPr>
            <w:tcW w:w="5436" w:type="dxa"/>
          </w:tcPr>
          <w:p w14:paraId="31F3AFFA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新任基金管理公司总经理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2851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6CB2CE61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7BB711A7" w14:textId="77777777">
        <w:trPr>
          <w:jc w:val="center"/>
        </w:trPr>
        <w:tc>
          <w:tcPr>
            <w:tcW w:w="5436" w:type="dxa"/>
          </w:tcPr>
          <w:p w14:paraId="125698C5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代任基金管理公司总经理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2915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1F2F7C0F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29C6B0EC" w14:textId="77777777">
        <w:trPr>
          <w:jc w:val="center"/>
        </w:trPr>
        <w:tc>
          <w:tcPr>
            <w:tcW w:w="5436" w:type="dxa"/>
          </w:tcPr>
          <w:p w14:paraId="392D3B70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离任基金管理公司总经理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2852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174E16A0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6F372400" w14:textId="77777777">
        <w:trPr>
          <w:jc w:val="center"/>
        </w:trPr>
        <w:tc>
          <w:tcPr>
            <w:tcW w:w="5436" w:type="dxa"/>
          </w:tcPr>
          <w:p w14:paraId="467E1B6F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新任基金管理公司副总经理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2853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6EEF5906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1BB37F04" w14:textId="77777777">
        <w:trPr>
          <w:jc w:val="center"/>
        </w:trPr>
        <w:tc>
          <w:tcPr>
            <w:tcW w:w="5436" w:type="dxa"/>
          </w:tcPr>
          <w:p w14:paraId="316D18B3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离任基金管理公司副总经理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2854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415958E1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281E5EE7" w14:textId="77777777">
        <w:trPr>
          <w:jc w:val="center"/>
        </w:trPr>
        <w:tc>
          <w:tcPr>
            <w:tcW w:w="5436" w:type="dxa"/>
          </w:tcPr>
          <w:p w14:paraId="501C76AC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新任基金管理公司督察长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2855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6F01837E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4DE04BCF" w14:textId="77777777">
        <w:trPr>
          <w:jc w:val="center"/>
        </w:trPr>
        <w:tc>
          <w:tcPr>
            <w:tcW w:w="5436" w:type="dxa"/>
          </w:tcPr>
          <w:p w14:paraId="302B8D93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代任基金管理公司督察长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2916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11E30916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632B05D0" w14:textId="77777777">
        <w:trPr>
          <w:jc w:val="center"/>
        </w:trPr>
        <w:tc>
          <w:tcPr>
            <w:tcW w:w="5436" w:type="dxa"/>
          </w:tcPr>
          <w:p w14:paraId="30C93498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离任基金管理公司督察长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2856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31F37061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4EA4C71A" w14:textId="77777777">
        <w:trPr>
          <w:jc w:val="center"/>
        </w:trPr>
        <w:tc>
          <w:tcPr>
            <w:tcW w:w="5436" w:type="dxa"/>
          </w:tcPr>
          <w:p w14:paraId="048AEED5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新任基金托管银行基金托管部门总经理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2857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60F914EE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1A9349DD" w14:textId="77777777">
        <w:trPr>
          <w:jc w:val="center"/>
        </w:trPr>
        <w:tc>
          <w:tcPr>
            <w:tcW w:w="5436" w:type="dxa"/>
          </w:tcPr>
          <w:p w14:paraId="227705B7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代任基金托管银行基金托管部门总经理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2917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4B230C14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  <w:tr w:rsidR="005572B9" w14:paraId="775E254A" w14:textId="77777777">
        <w:trPr>
          <w:jc w:val="center"/>
        </w:trPr>
        <w:tc>
          <w:tcPr>
            <w:tcW w:w="5436" w:type="dxa"/>
          </w:tcPr>
          <w:p w14:paraId="1F855AA9" w14:textId="77777777" w:rsidR="005572B9" w:rsidRDefault="005572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离任基金托管银行基金托管部门总经理</w:t>
            </w:r>
            <w:r>
              <w:rPr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2839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3227" w:type="dxa"/>
          </w:tcPr>
          <w:p w14:paraId="59F3C1C9" w14:textId="77777777" w:rsidR="005572B9" w:rsidRDefault="005572B9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 □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 □</w:t>
            </w:r>
          </w:p>
        </w:tc>
      </w:tr>
    </w:tbl>
    <w:p w14:paraId="71C98FF3" w14:textId="77777777" w:rsidR="005572B9" w:rsidRDefault="005572B9">
      <w:pPr>
        <w:pStyle w:val="Heading1"/>
        <w:numPr>
          <w:ilvl w:val="0"/>
          <w:numId w:val="2"/>
        </w:numPr>
        <w:rPr>
          <w:color w:val="000000"/>
          <w:sz w:val="32"/>
        </w:rPr>
      </w:pPr>
      <w:bookmarkStart w:id="14" w:name="_Toc327434696"/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关于货币市场基金收益支付公告的披露说明</w:t>
      </w:r>
      <w:bookmarkEnd w:id="14"/>
    </w:p>
    <w:p w14:paraId="5CA45815" w14:textId="77777777" w:rsidR="005572B9" w:rsidRDefault="005572B9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在货币基金收益支付公告中，将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收益集中支付并自动结转为基金份额的日期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名称调整为</w:t>
      </w:r>
      <w:r>
        <w:rPr>
          <w:color w:val="000000"/>
          <w:sz w:val="24"/>
        </w:rPr>
        <w:t>“</w:t>
      </w:r>
      <w:r>
        <w:rPr>
          <w:color w:val="000000"/>
          <w:sz w:val="24"/>
        </w:rPr>
        <w:t>收益集中支付日期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披露展示。元素名称、序号（</w:t>
      </w:r>
      <w:r>
        <w:rPr>
          <w:color w:val="000000"/>
          <w:sz w:val="24"/>
        </w:rPr>
        <w:t>2642</w:t>
      </w:r>
      <w:r>
        <w:rPr>
          <w:color w:val="000000"/>
          <w:sz w:val="24"/>
        </w:rPr>
        <w:t>）、元素类型和填报方式等均不发生变化。</w:t>
      </w:r>
    </w:p>
    <w:p w14:paraId="27D412BE" w14:textId="77777777" w:rsidR="005572B9" w:rsidRDefault="005572B9">
      <w:pPr>
        <w:ind w:left="425"/>
        <w:rPr>
          <w:color w:val="000000"/>
        </w:rPr>
      </w:pPr>
    </w:p>
    <w:sectPr w:rsidR="005572B9">
      <w:headerReference w:type="default" r:id="rId7"/>
      <w:footerReference w:type="default" r:id="rId8"/>
      <w:pgSz w:w="11906" w:h="16838"/>
      <w:pgMar w:top="1272" w:right="1106" w:bottom="1090" w:left="1080" w:header="935" w:footer="72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0226" w14:textId="77777777" w:rsidR="00E23B27" w:rsidRDefault="00E23B27">
      <w:r>
        <w:separator/>
      </w:r>
    </w:p>
  </w:endnote>
  <w:endnote w:type="continuationSeparator" w:id="0">
    <w:p w14:paraId="20BFFBDB" w14:textId="77777777" w:rsidR="00E23B27" w:rsidRDefault="00E2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,Arial,Courier,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2Stone Sans 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549E" w14:textId="77777777" w:rsidR="005572B9" w:rsidRDefault="005572B9">
    <w:pPr>
      <w:pStyle w:val="Footer"/>
      <w:jc w:val="both"/>
    </w:pPr>
    <w:r>
      <w:rPr>
        <w:rFonts w:ascii="Arial" w:hAnsi="Arial" w:hint="eastAsia"/>
      </w:rPr>
      <w:t>中国证券投资者保护基金有限公司</w:t>
    </w:r>
    <w:r>
      <w:rPr>
        <w:rFonts w:ascii="Arial" w:hAnsi="Arial" w:hint="eastAsia"/>
      </w:rPr>
      <w:t xml:space="preserve">                                                              </w:t>
    </w:r>
    <w:r>
      <w:rPr>
        <w:rFonts w:ascii="Arial" w:hAnsi="Arial" w:hint="eastAsia"/>
      </w:rPr>
      <w:t>第</w: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7C3ECA">
      <w:rPr>
        <w:rStyle w:val="PageNumber"/>
        <w:noProof/>
      </w:rPr>
      <w:t>7</w:t>
    </w:r>
    <w:r>
      <w:fldChar w:fldCharType="end"/>
    </w:r>
    <w:r>
      <w:rPr>
        <w:rStyle w:val="PageNumber"/>
        <w:rFonts w:hint="eastAsia"/>
      </w:rPr>
      <w:t>页，共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 w:rsidR="007C3ECA">
      <w:rPr>
        <w:rStyle w:val="PageNumber"/>
        <w:noProof/>
      </w:rPr>
      <w:t>7</w:t>
    </w:r>
    <w:r>
      <w:fldChar w:fldCharType="end"/>
    </w:r>
    <w:r>
      <w:rPr>
        <w:rStyle w:val="PageNumber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C3CF" w14:textId="77777777" w:rsidR="00E23B27" w:rsidRDefault="00E23B27">
      <w:r>
        <w:separator/>
      </w:r>
    </w:p>
  </w:footnote>
  <w:footnote w:type="continuationSeparator" w:id="0">
    <w:p w14:paraId="0EBE65D4" w14:textId="77777777" w:rsidR="00E23B27" w:rsidRDefault="00E2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76FB" w14:textId="77777777" w:rsidR="005572B9" w:rsidRDefault="005572B9">
    <w:pPr>
      <w:pStyle w:val="Header"/>
      <w:ind w:firstLineChars="49" w:firstLine="103"/>
      <w:rPr>
        <w:rFonts w:ascii="Arial" w:hAnsi="Arial"/>
        <w:b/>
        <w:sz w:val="32"/>
        <w:szCs w:val="32"/>
        <w:lang w:eastAsia="zh-CN"/>
      </w:rPr>
    </w:pPr>
    <w:r>
      <w:rPr>
        <w:rFonts w:ascii="Arial" w:hAnsi="Arial" w:hint="eastAsia"/>
        <w:b/>
        <w:sz w:val="21"/>
        <w:szCs w:val="21"/>
        <w:lang w:eastAsia="zh-CN"/>
      </w:rPr>
      <w:t>中国证监会电子化信息披露</w:t>
    </w:r>
    <w:r>
      <w:rPr>
        <w:rFonts w:ascii="Arial" w:hAnsi="Arial" w:hint="eastAsia"/>
        <w:b/>
        <w:sz w:val="32"/>
        <w:szCs w:val="32"/>
        <w:lang w:eastAsia="zh-CN"/>
      </w:rPr>
      <w:t xml:space="preserve">                  </w:t>
    </w:r>
  </w:p>
  <w:p w14:paraId="619480A1" w14:textId="5FFA0FFA" w:rsidR="005572B9" w:rsidRDefault="00E15DCA">
    <w:pPr>
      <w:pStyle w:val="Header"/>
      <w:rPr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1552A2" wp14:editId="0235AB52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400800" cy="0"/>
              <wp:effectExtent l="9525" t="11430" r="9525" b="17145"/>
              <wp:wrapNone/>
              <wp:docPr id="1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B6EC1" id="直线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" strokeweight="1.5pt"/>
          </w:pict>
        </mc:Fallback>
      </mc:AlternateContent>
    </w:r>
  </w:p>
  <w:p w14:paraId="19178DA9" w14:textId="77777777" w:rsidR="005572B9" w:rsidRDefault="005572B9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AB3"/>
    <w:multiLevelType w:val="multilevel"/>
    <w:tmpl w:val="1B3D3AB3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D8356B1"/>
    <w:multiLevelType w:val="multilevel"/>
    <w:tmpl w:val="4D8356B1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71290325"/>
    <w:multiLevelType w:val="multilevel"/>
    <w:tmpl w:val="71290325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79E06299"/>
    <w:multiLevelType w:val="multilevel"/>
    <w:tmpl w:val="79E0629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79"/>
    <w:rsid w:val="00007AA1"/>
    <w:rsid w:val="00010848"/>
    <w:rsid w:val="00014FFC"/>
    <w:rsid w:val="00020D3C"/>
    <w:rsid w:val="00023F10"/>
    <w:rsid w:val="00024EDD"/>
    <w:rsid w:val="00032001"/>
    <w:rsid w:val="00035985"/>
    <w:rsid w:val="00045C48"/>
    <w:rsid w:val="00046EC4"/>
    <w:rsid w:val="00051256"/>
    <w:rsid w:val="00055035"/>
    <w:rsid w:val="000566CC"/>
    <w:rsid w:val="000579E3"/>
    <w:rsid w:val="00062BDC"/>
    <w:rsid w:val="00066E53"/>
    <w:rsid w:val="00072218"/>
    <w:rsid w:val="00082119"/>
    <w:rsid w:val="00086E0B"/>
    <w:rsid w:val="00087C79"/>
    <w:rsid w:val="0009063B"/>
    <w:rsid w:val="00091D67"/>
    <w:rsid w:val="00092C59"/>
    <w:rsid w:val="000934B0"/>
    <w:rsid w:val="00094A47"/>
    <w:rsid w:val="00097118"/>
    <w:rsid w:val="00097B2C"/>
    <w:rsid w:val="000B0EDE"/>
    <w:rsid w:val="000B46FD"/>
    <w:rsid w:val="000B4F03"/>
    <w:rsid w:val="000D3194"/>
    <w:rsid w:val="000D5D6D"/>
    <w:rsid w:val="000E47C6"/>
    <w:rsid w:val="000E4C15"/>
    <w:rsid w:val="00100482"/>
    <w:rsid w:val="00100D6A"/>
    <w:rsid w:val="001038B8"/>
    <w:rsid w:val="00106200"/>
    <w:rsid w:val="001064C9"/>
    <w:rsid w:val="00107B6B"/>
    <w:rsid w:val="0011274D"/>
    <w:rsid w:val="001129EF"/>
    <w:rsid w:val="0011337F"/>
    <w:rsid w:val="001133A6"/>
    <w:rsid w:val="00114614"/>
    <w:rsid w:val="00114A33"/>
    <w:rsid w:val="00120673"/>
    <w:rsid w:val="001241FE"/>
    <w:rsid w:val="001254D7"/>
    <w:rsid w:val="0013208E"/>
    <w:rsid w:val="00132EBB"/>
    <w:rsid w:val="00132F2D"/>
    <w:rsid w:val="0013344A"/>
    <w:rsid w:val="00134156"/>
    <w:rsid w:val="00136240"/>
    <w:rsid w:val="001422C8"/>
    <w:rsid w:val="001434CD"/>
    <w:rsid w:val="00143820"/>
    <w:rsid w:val="001474E7"/>
    <w:rsid w:val="00147B9F"/>
    <w:rsid w:val="00150C10"/>
    <w:rsid w:val="00151BDA"/>
    <w:rsid w:val="00154405"/>
    <w:rsid w:val="001546F7"/>
    <w:rsid w:val="00156F53"/>
    <w:rsid w:val="0015732F"/>
    <w:rsid w:val="00162EE6"/>
    <w:rsid w:val="00166487"/>
    <w:rsid w:val="001714CF"/>
    <w:rsid w:val="00171EC3"/>
    <w:rsid w:val="00173A1C"/>
    <w:rsid w:val="00175F7B"/>
    <w:rsid w:val="001853A7"/>
    <w:rsid w:val="001965EF"/>
    <w:rsid w:val="001967D4"/>
    <w:rsid w:val="001A34AE"/>
    <w:rsid w:val="001A7167"/>
    <w:rsid w:val="001B37C5"/>
    <w:rsid w:val="001B4A82"/>
    <w:rsid w:val="001B5D4A"/>
    <w:rsid w:val="001B643A"/>
    <w:rsid w:val="001C0300"/>
    <w:rsid w:val="001C3937"/>
    <w:rsid w:val="001D00E2"/>
    <w:rsid w:val="001D0FDC"/>
    <w:rsid w:val="001D2819"/>
    <w:rsid w:val="001D2CEC"/>
    <w:rsid w:val="001D67BC"/>
    <w:rsid w:val="001D70E4"/>
    <w:rsid w:val="001E7D54"/>
    <w:rsid w:val="001E7FE1"/>
    <w:rsid w:val="001F0957"/>
    <w:rsid w:val="00204D99"/>
    <w:rsid w:val="00205C5C"/>
    <w:rsid w:val="00210604"/>
    <w:rsid w:val="00214DE9"/>
    <w:rsid w:val="00216AA0"/>
    <w:rsid w:val="0023227E"/>
    <w:rsid w:val="00234E74"/>
    <w:rsid w:val="002376A3"/>
    <w:rsid w:val="00251CFB"/>
    <w:rsid w:val="00265AD2"/>
    <w:rsid w:val="002729C3"/>
    <w:rsid w:val="00274601"/>
    <w:rsid w:val="00277805"/>
    <w:rsid w:val="00280C6E"/>
    <w:rsid w:val="00291912"/>
    <w:rsid w:val="002A79AE"/>
    <w:rsid w:val="002B01D9"/>
    <w:rsid w:val="002B6DB6"/>
    <w:rsid w:val="002C4553"/>
    <w:rsid w:val="002C4BA5"/>
    <w:rsid w:val="002C6970"/>
    <w:rsid w:val="002D13D1"/>
    <w:rsid w:val="002D3055"/>
    <w:rsid w:val="002D382F"/>
    <w:rsid w:val="002D58C7"/>
    <w:rsid w:val="002E2738"/>
    <w:rsid w:val="002E4039"/>
    <w:rsid w:val="002E4EC4"/>
    <w:rsid w:val="002F1423"/>
    <w:rsid w:val="002F35DA"/>
    <w:rsid w:val="003025CF"/>
    <w:rsid w:val="00307F30"/>
    <w:rsid w:val="003113E9"/>
    <w:rsid w:val="00311AD7"/>
    <w:rsid w:val="00312EE2"/>
    <w:rsid w:val="00315901"/>
    <w:rsid w:val="0031746F"/>
    <w:rsid w:val="00317E88"/>
    <w:rsid w:val="003202DC"/>
    <w:rsid w:val="00320A1C"/>
    <w:rsid w:val="00321404"/>
    <w:rsid w:val="00323434"/>
    <w:rsid w:val="00333E00"/>
    <w:rsid w:val="00337D3D"/>
    <w:rsid w:val="00341C6D"/>
    <w:rsid w:val="0034218A"/>
    <w:rsid w:val="00350E97"/>
    <w:rsid w:val="003520EE"/>
    <w:rsid w:val="003531FB"/>
    <w:rsid w:val="0035702C"/>
    <w:rsid w:val="00362326"/>
    <w:rsid w:val="00365E64"/>
    <w:rsid w:val="00367BEC"/>
    <w:rsid w:val="00370FA3"/>
    <w:rsid w:val="0037221C"/>
    <w:rsid w:val="00374183"/>
    <w:rsid w:val="00377131"/>
    <w:rsid w:val="003800B6"/>
    <w:rsid w:val="00380590"/>
    <w:rsid w:val="00383CAF"/>
    <w:rsid w:val="00387695"/>
    <w:rsid w:val="00391935"/>
    <w:rsid w:val="0039261A"/>
    <w:rsid w:val="00394089"/>
    <w:rsid w:val="00394857"/>
    <w:rsid w:val="003971FC"/>
    <w:rsid w:val="0039754B"/>
    <w:rsid w:val="003A092B"/>
    <w:rsid w:val="003A2132"/>
    <w:rsid w:val="003A564C"/>
    <w:rsid w:val="003A730A"/>
    <w:rsid w:val="003B1156"/>
    <w:rsid w:val="003B2825"/>
    <w:rsid w:val="003B55C5"/>
    <w:rsid w:val="003C0979"/>
    <w:rsid w:val="003C4E82"/>
    <w:rsid w:val="003C6AA0"/>
    <w:rsid w:val="003C6E1C"/>
    <w:rsid w:val="003D093A"/>
    <w:rsid w:val="003D39CC"/>
    <w:rsid w:val="003D3E84"/>
    <w:rsid w:val="003D53F5"/>
    <w:rsid w:val="003D5A20"/>
    <w:rsid w:val="003E1DFB"/>
    <w:rsid w:val="003E25D8"/>
    <w:rsid w:val="003E6C6B"/>
    <w:rsid w:val="003F5563"/>
    <w:rsid w:val="00400845"/>
    <w:rsid w:val="00401535"/>
    <w:rsid w:val="00417154"/>
    <w:rsid w:val="00421580"/>
    <w:rsid w:val="00432679"/>
    <w:rsid w:val="004332E1"/>
    <w:rsid w:val="00434738"/>
    <w:rsid w:val="00444BEB"/>
    <w:rsid w:val="00451438"/>
    <w:rsid w:val="004544C7"/>
    <w:rsid w:val="00454E5E"/>
    <w:rsid w:val="00460F1B"/>
    <w:rsid w:val="00463C19"/>
    <w:rsid w:val="0046566F"/>
    <w:rsid w:val="004709C0"/>
    <w:rsid w:val="0047402D"/>
    <w:rsid w:val="00484585"/>
    <w:rsid w:val="004856E0"/>
    <w:rsid w:val="004915D6"/>
    <w:rsid w:val="00496C3F"/>
    <w:rsid w:val="004A2E39"/>
    <w:rsid w:val="004A3A11"/>
    <w:rsid w:val="004A6983"/>
    <w:rsid w:val="004A7F74"/>
    <w:rsid w:val="004B2998"/>
    <w:rsid w:val="004B6646"/>
    <w:rsid w:val="004B6C24"/>
    <w:rsid w:val="004B7528"/>
    <w:rsid w:val="004C23FC"/>
    <w:rsid w:val="004C3C46"/>
    <w:rsid w:val="004C6ECA"/>
    <w:rsid w:val="004D1E5B"/>
    <w:rsid w:val="004D56DA"/>
    <w:rsid w:val="004D78CC"/>
    <w:rsid w:val="004E089E"/>
    <w:rsid w:val="004E1063"/>
    <w:rsid w:val="004E363F"/>
    <w:rsid w:val="004E7BDB"/>
    <w:rsid w:val="004F5557"/>
    <w:rsid w:val="00513554"/>
    <w:rsid w:val="0051760D"/>
    <w:rsid w:val="00517CE0"/>
    <w:rsid w:val="00526D74"/>
    <w:rsid w:val="005305E0"/>
    <w:rsid w:val="005307B1"/>
    <w:rsid w:val="005351F3"/>
    <w:rsid w:val="00543F75"/>
    <w:rsid w:val="00552D1A"/>
    <w:rsid w:val="005532C8"/>
    <w:rsid w:val="0055334E"/>
    <w:rsid w:val="00556F03"/>
    <w:rsid w:val="005572B9"/>
    <w:rsid w:val="00566746"/>
    <w:rsid w:val="00570AD9"/>
    <w:rsid w:val="0058338A"/>
    <w:rsid w:val="005858CE"/>
    <w:rsid w:val="00585CD1"/>
    <w:rsid w:val="00590781"/>
    <w:rsid w:val="00593EDA"/>
    <w:rsid w:val="00594A40"/>
    <w:rsid w:val="00594CEF"/>
    <w:rsid w:val="00597EEE"/>
    <w:rsid w:val="005A10AA"/>
    <w:rsid w:val="005A52DE"/>
    <w:rsid w:val="005A6EFD"/>
    <w:rsid w:val="005B0546"/>
    <w:rsid w:val="005B2A24"/>
    <w:rsid w:val="005B449A"/>
    <w:rsid w:val="005C25B5"/>
    <w:rsid w:val="005C3661"/>
    <w:rsid w:val="005D5B6F"/>
    <w:rsid w:val="005D6333"/>
    <w:rsid w:val="005E1028"/>
    <w:rsid w:val="005E143E"/>
    <w:rsid w:val="005E1DC7"/>
    <w:rsid w:val="005E58D9"/>
    <w:rsid w:val="005F1AE1"/>
    <w:rsid w:val="005F6063"/>
    <w:rsid w:val="006000BF"/>
    <w:rsid w:val="00603511"/>
    <w:rsid w:val="00614460"/>
    <w:rsid w:val="00617546"/>
    <w:rsid w:val="00625FC6"/>
    <w:rsid w:val="006279F9"/>
    <w:rsid w:val="00633168"/>
    <w:rsid w:val="0063353B"/>
    <w:rsid w:val="00633BEA"/>
    <w:rsid w:val="00633C84"/>
    <w:rsid w:val="006361C9"/>
    <w:rsid w:val="00642B9C"/>
    <w:rsid w:val="0064654F"/>
    <w:rsid w:val="006604EA"/>
    <w:rsid w:val="00660F87"/>
    <w:rsid w:val="00671B16"/>
    <w:rsid w:val="0067232F"/>
    <w:rsid w:val="00677E1A"/>
    <w:rsid w:val="00681DBC"/>
    <w:rsid w:val="00686174"/>
    <w:rsid w:val="00693184"/>
    <w:rsid w:val="006A1F16"/>
    <w:rsid w:val="006A2670"/>
    <w:rsid w:val="006A290E"/>
    <w:rsid w:val="006A4449"/>
    <w:rsid w:val="006A4A28"/>
    <w:rsid w:val="006A5988"/>
    <w:rsid w:val="006A72C3"/>
    <w:rsid w:val="006B7E8E"/>
    <w:rsid w:val="006C374D"/>
    <w:rsid w:val="006D625F"/>
    <w:rsid w:val="006D6898"/>
    <w:rsid w:val="006E110E"/>
    <w:rsid w:val="006E3129"/>
    <w:rsid w:val="006F17E6"/>
    <w:rsid w:val="006F2DAD"/>
    <w:rsid w:val="006F4418"/>
    <w:rsid w:val="006F6B2E"/>
    <w:rsid w:val="00700E75"/>
    <w:rsid w:val="00704ACF"/>
    <w:rsid w:val="00705128"/>
    <w:rsid w:val="007073D3"/>
    <w:rsid w:val="00712B53"/>
    <w:rsid w:val="00714557"/>
    <w:rsid w:val="00717383"/>
    <w:rsid w:val="007226E6"/>
    <w:rsid w:val="00725ECC"/>
    <w:rsid w:val="0072683B"/>
    <w:rsid w:val="007312E7"/>
    <w:rsid w:val="007323D0"/>
    <w:rsid w:val="00733B08"/>
    <w:rsid w:val="00734655"/>
    <w:rsid w:val="007371D5"/>
    <w:rsid w:val="0073755C"/>
    <w:rsid w:val="00737A11"/>
    <w:rsid w:val="00740A31"/>
    <w:rsid w:val="00741B66"/>
    <w:rsid w:val="00744D1F"/>
    <w:rsid w:val="00745976"/>
    <w:rsid w:val="00745C62"/>
    <w:rsid w:val="00760A30"/>
    <w:rsid w:val="00792566"/>
    <w:rsid w:val="00797B84"/>
    <w:rsid w:val="007A1D33"/>
    <w:rsid w:val="007B075B"/>
    <w:rsid w:val="007B3400"/>
    <w:rsid w:val="007B3D1E"/>
    <w:rsid w:val="007B4A35"/>
    <w:rsid w:val="007B7C68"/>
    <w:rsid w:val="007C3E52"/>
    <w:rsid w:val="007C3ECA"/>
    <w:rsid w:val="007C7D49"/>
    <w:rsid w:val="007D13B4"/>
    <w:rsid w:val="007D4D06"/>
    <w:rsid w:val="007E014A"/>
    <w:rsid w:val="007F03CC"/>
    <w:rsid w:val="007F650F"/>
    <w:rsid w:val="00800694"/>
    <w:rsid w:val="00801D41"/>
    <w:rsid w:val="008047E4"/>
    <w:rsid w:val="00812F14"/>
    <w:rsid w:val="00827CFA"/>
    <w:rsid w:val="00832EAD"/>
    <w:rsid w:val="00834206"/>
    <w:rsid w:val="00834580"/>
    <w:rsid w:val="00836AC8"/>
    <w:rsid w:val="00837338"/>
    <w:rsid w:val="0084063F"/>
    <w:rsid w:val="008409D9"/>
    <w:rsid w:val="008443A1"/>
    <w:rsid w:val="00850D7B"/>
    <w:rsid w:val="00854817"/>
    <w:rsid w:val="00861F49"/>
    <w:rsid w:val="00866E6A"/>
    <w:rsid w:val="0086796E"/>
    <w:rsid w:val="0087484A"/>
    <w:rsid w:val="008749F2"/>
    <w:rsid w:val="00882F1A"/>
    <w:rsid w:val="00887ED6"/>
    <w:rsid w:val="00891AB5"/>
    <w:rsid w:val="00891BD5"/>
    <w:rsid w:val="00891FB2"/>
    <w:rsid w:val="008938F8"/>
    <w:rsid w:val="00895CFE"/>
    <w:rsid w:val="00895FF1"/>
    <w:rsid w:val="008966D2"/>
    <w:rsid w:val="00896F8A"/>
    <w:rsid w:val="008A10CE"/>
    <w:rsid w:val="008A1934"/>
    <w:rsid w:val="008A32B5"/>
    <w:rsid w:val="008A7A54"/>
    <w:rsid w:val="008C0BFA"/>
    <w:rsid w:val="008C1A46"/>
    <w:rsid w:val="008D0CD7"/>
    <w:rsid w:val="008D6028"/>
    <w:rsid w:val="008E0D3D"/>
    <w:rsid w:val="008E3C91"/>
    <w:rsid w:val="008E637D"/>
    <w:rsid w:val="008E7047"/>
    <w:rsid w:val="008F477A"/>
    <w:rsid w:val="008F4C97"/>
    <w:rsid w:val="008F5BEE"/>
    <w:rsid w:val="008F6750"/>
    <w:rsid w:val="008F7AA3"/>
    <w:rsid w:val="00906635"/>
    <w:rsid w:val="00921EAC"/>
    <w:rsid w:val="009274AA"/>
    <w:rsid w:val="0092779F"/>
    <w:rsid w:val="009364A2"/>
    <w:rsid w:val="00940488"/>
    <w:rsid w:val="009462BA"/>
    <w:rsid w:val="00952F15"/>
    <w:rsid w:val="0095369A"/>
    <w:rsid w:val="00960E43"/>
    <w:rsid w:val="0096473E"/>
    <w:rsid w:val="009672FE"/>
    <w:rsid w:val="00981FF2"/>
    <w:rsid w:val="00982A53"/>
    <w:rsid w:val="00983BB1"/>
    <w:rsid w:val="00983C6F"/>
    <w:rsid w:val="009946DD"/>
    <w:rsid w:val="009953BF"/>
    <w:rsid w:val="00995A21"/>
    <w:rsid w:val="00995B1B"/>
    <w:rsid w:val="00996FA8"/>
    <w:rsid w:val="009A546A"/>
    <w:rsid w:val="009A5B05"/>
    <w:rsid w:val="009B3AC1"/>
    <w:rsid w:val="009C6676"/>
    <w:rsid w:val="009D1D7E"/>
    <w:rsid w:val="009D3994"/>
    <w:rsid w:val="009E09F8"/>
    <w:rsid w:val="009E0DBE"/>
    <w:rsid w:val="009E1E17"/>
    <w:rsid w:val="009E2A57"/>
    <w:rsid w:val="009E32A3"/>
    <w:rsid w:val="009E5310"/>
    <w:rsid w:val="009E6208"/>
    <w:rsid w:val="009E7892"/>
    <w:rsid w:val="009F0884"/>
    <w:rsid w:val="009F4172"/>
    <w:rsid w:val="009F48E1"/>
    <w:rsid w:val="00A000D1"/>
    <w:rsid w:val="00A00295"/>
    <w:rsid w:val="00A06B82"/>
    <w:rsid w:val="00A13357"/>
    <w:rsid w:val="00A15077"/>
    <w:rsid w:val="00A24B82"/>
    <w:rsid w:val="00A263B4"/>
    <w:rsid w:val="00A3404F"/>
    <w:rsid w:val="00A34825"/>
    <w:rsid w:val="00A35EE0"/>
    <w:rsid w:val="00A37EA8"/>
    <w:rsid w:val="00A54CC6"/>
    <w:rsid w:val="00A56C1E"/>
    <w:rsid w:val="00A6035F"/>
    <w:rsid w:val="00A605F4"/>
    <w:rsid w:val="00A65C06"/>
    <w:rsid w:val="00A74955"/>
    <w:rsid w:val="00A75387"/>
    <w:rsid w:val="00A81694"/>
    <w:rsid w:val="00A82CC2"/>
    <w:rsid w:val="00A914CA"/>
    <w:rsid w:val="00A94DA6"/>
    <w:rsid w:val="00AA4E3A"/>
    <w:rsid w:val="00AC2CB7"/>
    <w:rsid w:val="00AD08B4"/>
    <w:rsid w:val="00AD1028"/>
    <w:rsid w:val="00AD4EAF"/>
    <w:rsid w:val="00AE09FD"/>
    <w:rsid w:val="00AE28E4"/>
    <w:rsid w:val="00AE40BC"/>
    <w:rsid w:val="00AF44D6"/>
    <w:rsid w:val="00AF4D33"/>
    <w:rsid w:val="00AF5710"/>
    <w:rsid w:val="00B0113A"/>
    <w:rsid w:val="00B044DE"/>
    <w:rsid w:val="00B06198"/>
    <w:rsid w:val="00B063ED"/>
    <w:rsid w:val="00B125A4"/>
    <w:rsid w:val="00B216C2"/>
    <w:rsid w:val="00B25328"/>
    <w:rsid w:val="00B3070F"/>
    <w:rsid w:val="00B415CC"/>
    <w:rsid w:val="00B43254"/>
    <w:rsid w:val="00B46D71"/>
    <w:rsid w:val="00B4732B"/>
    <w:rsid w:val="00B47BA9"/>
    <w:rsid w:val="00B516BC"/>
    <w:rsid w:val="00B526D0"/>
    <w:rsid w:val="00B540B4"/>
    <w:rsid w:val="00B541E7"/>
    <w:rsid w:val="00B56465"/>
    <w:rsid w:val="00B6549A"/>
    <w:rsid w:val="00B658E0"/>
    <w:rsid w:val="00B70084"/>
    <w:rsid w:val="00B71A35"/>
    <w:rsid w:val="00B754AB"/>
    <w:rsid w:val="00B84D5F"/>
    <w:rsid w:val="00B85E8B"/>
    <w:rsid w:val="00B906B7"/>
    <w:rsid w:val="00B91AE9"/>
    <w:rsid w:val="00B91B0C"/>
    <w:rsid w:val="00B9407F"/>
    <w:rsid w:val="00B95069"/>
    <w:rsid w:val="00B95924"/>
    <w:rsid w:val="00B96708"/>
    <w:rsid w:val="00BA0B9E"/>
    <w:rsid w:val="00BA69E4"/>
    <w:rsid w:val="00BB1B10"/>
    <w:rsid w:val="00BC540F"/>
    <w:rsid w:val="00BD04FF"/>
    <w:rsid w:val="00BD1AD9"/>
    <w:rsid w:val="00BE0364"/>
    <w:rsid w:val="00BE0F8C"/>
    <w:rsid w:val="00BF49D9"/>
    <w:rsid w:val="00BF755E"/>
    <w:rsid w:val="00BF7900"/>
    <w:rsid w:val="00C05A5B"/>
    <w:rsid w:val="00C06D06"/>
    <w:rsid w:val="00C07F63"/>
    <w:rsid w:val="00C11275"/>
    <w:rsid w:val="00C13F45"/>
    <w:rsid w:val="00C17341"/>
    <w:rsid w:val="00C235D3"/>
    <w:rsid w:val="00C2480B"/>
    <w:rsid w:val="00C25B3B"/>
    <w:rsid w:val="00C25D81"/>
    <w:rsid w:val="00C30397"/>
    <w:rsid w:val="00C33588"/>
    <w:rsid w:val="00C366D5"/>
    <w:rsid w:val="00C40B74"/>
    <w:rsid w:val="00C44753"/>
    <w:rsid w:val="00C44BCF"/>
    <w:rsid w:val="00C45C18"/>
    <w:rsid w:val="00C4602D"/>
    <w:rsid w:val="00C46934"/>
    <w:rsid w:val="00C50DF2"/>
    <w:rsid w:val="00C54ACF"/>
    <w:rsid w:val="00C56235"/>
    <w:rsid w:val="00C64E13"/>
    <w:rsid w:val="00C664B9"/>
    <w:rsid w:val="00C719A3"/>
    <w:rsid w:val="00C829A6"/>
    <w:rsid w:val="00C909C1"/>
    <w:rsid w:val="00C915D9"/>
    <w:rsid w:val="00C928FF"/>
    <w:rsid w:val="00CA1CEC"/>
    <w:rsid w:val="00CA4656"/>
    <w:rsid w:val="00CA489E"/>
    <w:rsid w:val="00CA758F"/>
    <w:rsid w:val="00CB1F91"/>
    <w:rsid w:val="00CB3125"/>
    <w:rsid w:val="00CB3AAC"/>
    <w:rsid w:val="00CB5615"/>
    <w:rsid w:val="00CC5043"/>
    <w:rsid w:val="00CC53AF"/>
    <w:rsid w:val="00CC7DAE"/>
    <w:rsid w:val="00CD232D"/>
    <w:rsid w:val="00CD702A"/>
    <w:rsid w:val="00CE4BB1"/>
    <w:rsid w:val="00CE62C3"/>
    <w:rsid w:val="00CF6495"/>
    <w:rsid w:val="00CF660C"/>
    <w:rsid w:val="00D0328B"/>
    <w:rsid w:val="00D03BAF"/>
    <w:rsid w:val="00D05C8E"/>
    <w:rsid w:val="00D07003"/>
    <w:rsid w:val="00D12D39"/>
    <w:rsid w:val="00D1511F"/>
    <w:rsid w:val="00D1618B"/>
    <w:rsid w:val="00D220F6"/>
    <w:rsid w:val="00D2319C"/>
    <w:rsid w:val="00D235A3"/>
    <w:rsid w:val="00D251FE"/>
    <w:rsid w:val="00D35767"/>
    <w:rsid w:val="00D3688D"/>
    <w:rsid w:val="00D62678"/>
    <w:rsid w:val="00D67BB5"/>
    <w:rsid w:val="00D817C9"/>
    <w:rsid w:val="00D849A7"/>
    <w:rsid w:val="00D87DC5"/>
    <w:rsid w:val="00D91073"/>
    <w:rsid w:val="00D920B7"/>
    <w:rsid w:val="00D947C7"/>
    <w:rsid w:val="00D95E27"/>
    <w:rsid w:val="00D97DCF"/>
    <w:rsid w:val="00DA0D41"/>
    <w:rsid w:val="00DA2801"/>
    <w:rsid w:val="00DA2BB3"/>
    <w:rsid w:val="00DA33F4"/>
    <w:rsid w:val="00DA48DA"/>
    <w:rsid w:val="00DA5548"/>
    <w:rsid w:val="00DA6496"/>
    <w:rsid w:val="00DB19A0"/>
    <w:rsid w:val="00DB6431"/>
    <w:rsid w:val="00DC2054"/>
    <w:rsid w:val="00DC6BC1"/>
    <w:rsid w:val="00DC7DEF"/>
    <w:rsid w:val="00DC7EA1"/>
    <w:rsid w:val="00DD2848"/>
    <w:rsid w:val="00DD52FF"/>
    <w:rsid w:val="00DD78DA"/>
    <w:rsid w:val="00DE144B"/>
    <w:rsid w:val="00DE23EF"/>
    <w:rsid w:val="00DE745D"/>
    <w:rsid w:val="00DF0FD2"/>
    <w:rsid w:val="00DF47AC"/>
    <w:rsid w:val="00DF77CC"/>
    <w:rsid w:val="00E00EEA"/>
    <w:rsid w:val="00E039B0"/>
    <w:rsid w:val="00E155F8"/>
    <w:rsid w:val="00E15DCA"/>
    <w:rsid w:val="00E16548"/>
    <w:rsid w:val="00E20619"/>
    <w:rsid w:val="00E20EAB"/>
    <w:rsid w:val="00E21629"/>
    <w:rsid w:val="00E219CD"/>
    <w:rsid w:val="00E21AA5"/>
    <w:rsid w:val="00E23B27"/>
    <w:rsid w:val="00E25561"/>
    <w:rsid w:val="00E26C87"/>
    <w:rsid w:val="00E36A2B"/>
    <w:rsid w:val="00E3701F"/>
    <w:rsid w:val="00E42165"/>
    <w:rsid w:val="00E4292F"/>
    <w:rsid w:val="00E4295B"/>
    <w:rsid w:val="00E5282D"/>
    <w:rsid w:val="00E52FAB"/>
    <w:rsid w:val="00E55910"/>
    <w:rsid w:val="00E57841"/>
    <w:rsid w:val="00E57960"/>
    <w:rsid w:val="00E7056B"/>
    <w:rsid w:val="00E75C4D"/>
    <w:rsid w:val="00E77AD7"/>
    <w:rsid w:val="00E80657"/>
    <w:rsid w:val="00E80B2B"/>
    <w:rsid w:val="00E82794"/>
    <w:rsid w:val="00E850C0"/>
    <w:rsid w:val="00E9640A"/>
    <w:rsid w:val="00EA010F"/>
    <w:rsid w:val="00EA18C3"/>
    <w:rsid w:val="00EA4683"/>
    <w:rsid w:val="00EA4B10"/>
    <w:rsid w:val="00EA6C4A"/>
    <w:rsid w:val="00EB191D"/>
    <w:rsid w:val="00EB2116"/>
    <w:rsid w:val="00EB59A6"/>
    <w:rsid w:val="00EC51CA"/>
    <w:rsid w:val="00ED16A9"/>
    <w:rsid w:val="00ED235E"/>
    <w:rsid w:val="00ED7A12"/>
    <w:rsid w:val="00EE140F"/>
    <w:rsid w:val="00EE193A"/>
    <w:rsid w:val="00EE1AAD"/>
    <w:rsid w:val="00EE3D78"/>
    <w:rsid w:val="00EF0BCE"/>
    <w:rsid w:val="00EF6272"/>
    <w:rsid w:val="00F006B7"/>
    <w:rsid w:val="00F27E53"/>
    <w:rsid w:val="00F31E08"/>
    <w:rsid w:val="00F33F45"/>
    <w:rsid w:val="00F340FD"/>
    <w:rsid w:val="00F36595"/>
    <w:rsid w:val="00F375AE"/>
    <w:rsid w:val="00F40495"/>
    <w:rsid w:val="00F412DA"/>
    <w:rsid w:val="00F47921"/>
    <w:rsid w:val="00F51D09"/>
    <w:rsid w:val="00F56A3C"/>
    <w:rsid w:val="00F633B4"/>
    <w:rsid w:val="00F64130"/>
    <w:rsid w:val="00F667AC"/>
    <w:rsid w:val="00F77209"/>
    <w:rsid w:val="00F80B7C"/>
    <w:rsid w:val="00F833DE"/>
    <w:rsid w:val="00F8444A"/>
    <w:rsid w:val="00F9077D"/>
    <w:rsid w:val="00F94E93"/>
    <w:rsid w:val="00F97F7A"/>
    <w:rsid w:val="00FA3B69"/>
    <w:rsid w:val="00FA4783"/>
    <w:rsid w:val="00FA6E45"/>
    <w:rsid w:val="00FA6FA7"/>
    <w:rsid w:val="00FB096D"/>
    <w:rsid w:val="00FB4255"/>
    <w:rsid w:val="00FB5D4D"/>
    <w:rsid w:val="00FC6AC7"/>
    <w:rsid w:val="00FD0489"/>
    <w:rsid w:val="00FD2613"/>
    <w:rsid w:val="00FD3A6B"/>
    <w:rsid w:val="00FD5408"/>
    <w:rsid w:val="00FE357F"/>
    <w:rsid w:val="00FE4A2A"/>
    <w:rsid w:val="00FF754A"/>
    <w:rsid w:val="00FF77F4"/>
    <w:rsid w:val="23300883"/>
    <w:rsid w:val="25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696874"/>
  <w15:chartTrackingRefBased/>
  <w15:docId w15:val="{01A3103E-48D5-4ECD-B9F4-E98B126C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正文文本1"/>
    <w:aliases w:val="正文文字 Char Char Char Char Char Char Char Char"/>
    <w:rPr>
      <w:rFonts w:ascii="仿宋_GB2312" w:eastAsia="仿宋_GB2312"/>
      <w:sz w:val="28"/>
      <w:lang w:val="en-US" w:eastAsia="zh-CN" w:bidi="ar-SA"/>
    </w:rPr>
  </w:style>
  <w:style w:type="character" w:customStyle="1" w:styleId="CommentTextChar">
    <w:name w:val="Comment Text Char"/>
    <w:rPr>
      <w:rFonts w:ascii="Verdana" w:eastAsia="MS Mincho" w:hAnsi="Verdana" w:cs="Times New Roman"/>
      <w:sz w:val="18"/>
      <w:lang w:val="en-GB" w:eastAsia="en-US" w:bidi="ar-SA"/>
    </w:rPr>
  </w:style>
  <w:style w:type="character" w:customStyle="1" w:styleId="BodyTextChar">
    <w:name w:val="Body Text Char"/>
    <w:link w:val="BodyText"/>
    <w:rPr>
      <w:rFonts w:ascii="Verdana" w:eastAsia="MS Mincho" w:hAnsi="Verdana"/>
      <w:sz w:val="18"/>
      <w:lang w:val="en-GB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11">
    <w:name w:val="p11"/>
    <w:rPr>
      <w:rFonts w:ascii="宋体" w:eastAsia="宋体" w:hAnsi="宋体" w:hint="eastAsia"/>
      <w:spacing w:val="300"/>
      <w:sz w:val="22"/>
      <w:szCs w:val="22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strongtext1">
    <w:name w:val="strongtext1"/>
    <w:rPr>
      <w:rFonts w:ascii="Tahoma,Arial,Courier,宋体" w:eastAsia="Tahoma,Arial,Courier,宋体" w:hint="eastAsia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aneltitle1">
    <w:name w:val="paneltitle1"/>
    <w:rPr>
      <w:rFonts w:ascii="Tahoma,Arial,Courier,宋体" w:eastAsia="Tahoma,Arial,Courier,宋体" w:hint="eastAsia"/>
      <w:b/>
      <w:bCs/>
      <w:color w:val="008000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ilite1">
    <w:name w:val="hilite1"/>
    <w:basedOn w:val="DefaultParagraphFont"/>
  </w:style>
  <w:style w:type="character" w:customStyle="1" w:styleId="CommentTextChar1">
    <w:name w:val="Comment Text Char1"/>
    <w:link w:val="CommentText"/>
    <w:semiHidden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ODE">
    <w:name w:val="CODE"/>
    <w:rPr>
      <w:rFonts w:ascii="Courier New" w:hAnsi="Courier New"/>
      <w:spacing w:val="-10"/>
      <w:sz w:val="20"/>
      <w:lang w:val="en-GB" w:eastAsia="zh-CN"/>
    </w:rPr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paragraph" w:styleId="Caption">
    <w:name w:val="caption"/>
    <w:basedOn w:val="Normal"/>
    <w:next w:val="Normal"/>
    <w:qFormat/>
    <w:pPr>
      <w:keepNext/>
      <w:widowControl/>
      <w:spacing w:before="120"/>
      <w:jc w:val="left"/>
    </w:pPr>
    <w:rPr>
      <w:rFonts w:ascii="Verdana" w:eastAsia="MS Mincho" w:hAnsi="Verdana"/>
      <w:b/>
      <w:kern w:val="0"/>
      <w:sz w:val="18"/>
      <w:szCs w:val="20"/>
      <w:lang w:val="en-GB" w:eastAsia="en-US"/>
    </w:rPr>
  </w:style>
  <w:style w:type="paragraph" w:customStyle="1" w:styleId="Char1CharCharCharChar">
    <w:name w:val="Char1 Char Char Char Char"/>
    <w:basedOn w:val="Normal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jc w:val="left"/>
    </w:pPr>
    <w:rPr>
      <w:kern w:val="0"/>
      <w:sz w:val="24"/>
      <w:lang w:eastAsia="en-US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TOC1">
    <w:name w:val="toc 1"/>
    <w:basedOn w:val="Normal"/>
    <w:next w:val="Normal"/>
    <w:uiPriority w:val="39"/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customStyle="1" w:styleId="Char">
    <w:name w:val="Char"/>
    <w:basedOn w:val="Normal"/>
  </w:style>
  <w:style w:type="paragraph" w:styleId="ListParagraph">
    <w:name w:val="List Paragraph"/>
    <w:basedOn w:val="Normal"/>
    <w:qFormat/>
    <w:pPr>
      <w:ind w:firstLineChars="200" w:firstLine="420"/>
    </w:pPr>
  </w:style>
  <w:style w:type="paragraph" w:customStyle="1" w:styleId="Titlessbold10510">
    <w:name w:val="Title ssbold 10.5/10"/>
    <w:basedOn w:val="Normal"/>
    <w:next w:val="Normal"/>
    <w:pPr>
      <w:widowControl/>
      <w:autoSpaceDE w:val="0"/>
      <w:autoSpaceDN w:val="0"/>
      <w:spacing w:line="200" w:lineRule="exact"/>
      <w:jc w:val="left"/>
    </w:pPr>
    <w:rPr>
      <w:rFonts w:ascii="B 2Stone Sans Bold" w:hAnsi="B 2Stone Sans Bold"/>
      <w:kern w:val="0"/>
      <w:szCs w:val="21"/>
      <w:lang w:eastAsia="en-US"/>
    </w:rPr>
  </w:style>
  <w:style w:type="paragraph" w:styleId="BodyText">
    <w:name w:val="Body Text"/>
    <w:basedOn w:val="Normal"/>
    <w:link w:val="BodyTextChar"/>
    <w:pPr>
      <w:widowControl/>
      <w:spacing w:before="120" w:after="120"/>
    </w:pPr>
    <w:rPr>
      <w:rFonts w:ascii="Verdana" w:eastAsia="MS Mincho" w:hAnsi="Verdana"/>
      <w:kern w:val="0"/>
      <w:sz w:val="18"/>
      <w:szCs w:val="20"/>
      <w:lang w:val="en-GB" w:eastAsia="en-US"/>
    </w:rPr>
  </w:style>
  <w:style w:type="paragraph" w:customStyle="1" w:styleId="a">
    <w:name w:val="段"/>
    <w:pPr>
      <w:autoSpaceDE w:val="0"/>
      <w:autoSpaceDN w:val="0"/>
      <w:ind w:firstLineChars="200" w:firstLine="200"/>
      <w:jc w:val="both"/>
    </w:pPr>
    <w:rPr>
      <w:rFonts w:ascii="宋体"/>
      <w:sz w:val="21"/>
      <w:lang w:val="en-US"/>
    </w:rPr>
  </w:style>
  <w:style w:type="paragraph" w:customStyle="1" w:styleId="CharCharCharChar">
    <w:name w:val="Char Char Char Char"/>
    <w:basedOn w:val="Normal"/>
    <w:pPr>
      <w:tabs>
        <w:tab w:val="left" w:pos="840"/>
      </w:tabs>
      <w:adjustRightInd w:val="0"/>
      <w:spacing w:line="360" w:lineRule="atLeast"/>
      <w:ind w:left="840" w:hanging="360"/>
      <w:textAlignment w:val="baseline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0">
    <w:name w:val="比"/>
    <w:basedOn w:val="Normal"/>
    <w:pPr>
      <w:numPr>
        <w:ilvl w:val="4"/>
        <w:numId w:val="1"/>
      </w:numPr>
      <w:tabs>
        <w:tab w:val="left" w:pos="992"/>
      </w:tabs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link w:val="CommentTextChar1"/>
    <w:semiHidden/>
    <w:pPr>
      <w:jc w:val="left"/>
    </w:p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753</Words>
  <Characters>4294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/>
  <LinksUpToDate>false</LinksUpToDate>
  <CharactersWithSpaces>5037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_Toc327434696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_Toc327434695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_Toc327434694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_Toc327434693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_Toc327434692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_Toc327434691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_Toc327434690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_Toc327434689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_Toc327434688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_Toc327434687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基金XBRL</dc:title>
  <dc:subject/>
  <dc:creator>SSEInfonet</dc:creator>
  <cp:keywords/>
  <dc:description/>
  <cp:lastModifiedBy>LIN SUISHENG</cp:lastModifiedBy>
  <cp:revision>2</cp:revision>
  <cp:lastPrinted>2008-12-01T05:44:00Z</cp:lastPrinted>
  <dcterms:created xsi:type="dcterms:W3CDTF">2025-07-19T07:07:00Z</dcterms:created>
  <dcterms:modified xsi:type="dcterms:W3CDTF">2025-07-19T07:07:00Z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