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6"/>
          <w:szCs w:val="56"/>
        </w:rPr>
        <w:t xml:space="preserve">SISARM</w:t>
      </w:r>
    </w:p>
    <w:p>
      <w:pPr>
        <w:spacing w:after="200"/>
        <w:jc w:val="center"/>
      </w:pPr>
      <w:r>
        <w:rPr>
          <w:i/>
          <w:iCs/>
          <w:color w:val="2E75B6"/>
          <w:sz w:val="28"/>
          <w:szCs w:val="28"/>
        </w:rPr>
        <w:t xml:space="preserve">Sistema de Clasificacion Arancelaria y Gestion de Mercancias</w:t>
      </w:r>
    </w:p>
    <w:p>
      <w:pPr>
        <w:spacing w:after="600"/>
        <w:jc w:val="center"/>
      </w:pPr>
      <w:r>
        <w:rPr>
          <w:b/>
          <w:bCs/>
          <w:sz w:val="26"/>
          <w:szCs w:val="26"/>
        </w:rPr>
        <w:t xml:space="preserve">Adendum de Historias de Usuario - Epica 6 (Calidad y Robustez)</w:t>
      </w:r>
    </w:p>
    <w:p>
      <w:pPr>
        <w:spacing w:after="200"/>
        <w:jc w:val="center"/>
      </w:pPr>
      <w:r>
        <w:rPr>
          <w:i/>
          <w:iCs/>
          <w:sz w:val="22"/>
          <w:szCs w:val="22"/>
        </w:rPr>
        <w:t xml:space="preserve">Criterios de Validacion con Sustento Academico y Normativo</w:t>
      </w:r>
    </w:p>
    <w:p>
      <w:pPr>
        <w:spacing w:after="200"/>
        <w:jc w:val="center"/>
      </w:pPr>
      <w:r>
        <w:rPr>
          <w:i/>
          <w:iCs/>
          <w:sz w:val="22"/>
          <w:szCs w:val="22"/>
        </w:rPr>
        <w:t xml:space="preserve">Version 2.2 - Junio 2026</w:t>
      </w:r>
    </w:p>
    <w:p>
      <w:pPr>
        <w:spacing w:after="600"/>
        <w:jc w:val="center"/>
      </w:pPr>
      <w:r>
        <w:rPr>
          <w:color w:val="595959"/>
          <w:sz w:val="20"/>
          <w:szCs w:val="20"/>
        </w:rPr>
        <w:t xml:space="preserve">Sprint 4 - Endurecimiento y refinamiento visual</w:t>
      </w:r>
    </w:p>
    <w:p>
      <w:pPr>
        <w:pStyle w:val="Heading1"/>
        <w:spacing w:after="200" w:before="360"/>
      </w:pPr>
      <w:r>
        <w:rPr>
          <w:b/>
          <w:bCs/>
          <w:color w:val="1F4E79"/>
          <w:sz w:val="32"/>
          <w:szCs w:val="32"/>
        </w:rPr>
        <w:t xml:space="preserve">Introduccion al adendum</w:t>
      </w:r>
    </w:p>
    <w:p>
      <w:pPr>
        <w:spacing w:after="120"/>
      </w:pPr>
      <w:r>
        <w:t xml:space="preserve">Este documento adiciona cuatro historias de usuario a la especificacion SISARM Version 2.0 y al adendum Version 2.1, agrupandolas en una nueva epica orientada a calidad, robustez y experiencia visual del sistema (Epica 6).</w:t>
      </w:r>
    </w:p>
    <w:p>
      <w:pPr>
        <w:spacing w:after="120"/>
      </w:pPr>
      <w:r>
        <w:t xml:space="preserve">Estas historias responden a hallazgos detectados durante las pruebas de uso del Sprint 4: perdida de contexto al recargar la pagina, inconsistencia visual entre vistas, ausencia de cierre automatico por inactividad y necesidad de endurecer los protocolos de seguridad frente a errores y abusos. Su implementacion no agrega funcionalidad nueva al usuario final sino que refuerza la calidad operativa del sistema para alcanzar un nivel de confiabilidad apto para un entorno regulado.</w:t>
      </w:r>
    </w:p>
    <w:p>
      <w:pPr>
        <w:pStyle w:val="Heading1"/>
        <w:spacing w:after="200" w:before="360"/>
      </w:pPr>
      <w:r>
        <w:rPr>
          <w:b/>
          <w:bCs/>
          <w:color w:val="1F4E79"/>
          <w:sz w:val="32"/>
          <w:szCs w:val="32"/>
        </w:rPr>
        <w:t xml:space="preserve">Epica 6 - Calidad, robustez y experiencia visual</w:t>
      </w:r>
    </w:p>
    <w:p>
      <w:pPr>
        <w:spacing w:after="120"/>
      </w:pPr>
      <w:r>
        <w:t xml:space="preserve">Esta epica agrupa historias transversales que mejoran la confiabilidad operativa y la coherencia visual del sistema. No incorporan nuevas funcionalidades de negocio, sino que elevan el nivel de madurez del producto a un estandar profesional apto para uso regulado por despachantes de aduana.</w:t>
      </w:r>
    </w:p>
    <w:p>
      <w:pPr>
        <w:pStyle w:val="Heading2"/>
        <w:spacing w:after="160" w:before="280"/>
      </w:pPr>
      <w:r>
        <w:rPr>
          <w:b/>
          <w:bCs/>
          <w:color w:val="2E75B6"/>
          <w:sz w:val="28"/>
          <w:szCs w:val="28"/>
        </w:rPr>
        <w:t xml:space="preserve">6.1. Persistencia de sesion al recargar la pagina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pPr>
            <w:r>
              <w:rPr>
                <w:b/>
                <w:bCs/>
                <w:color w:val="1F4E79"/>
                <w:sz w:val="24"/>
                <w:szCs w:val="24"/>
              </w:rPr>
              <w:t xml:space="preserve">Historia de Usuario</w:t>
            </w:r>
          </w:p>
        </w:tc>
      </w:tr>
      <w:tr>
        <w:tc>
          <w:tcPr>
            <w:tcW w:type="dxa" w:w="9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Yo como despachante de aduana, necesito que el sistema NO me cierre la sesion ni colapse cuando recargo la pagina o presiono F5, para no perder mi contexto de trabajo y poder seguir consultando el arancel sin reiniciar todo el flujo de autenticacion.</w:t>
            </w:r>
          </w:p>
        </w:tc>
      </w:tr>
    </w:tbl>
    <w:p>
      <w:pPr>
        <w:spacing w:after="120" w:before="200"/>
      </w:pPr>
      <w:r>
        <w:rPr>
          <w:b/>
          <w:bCs/>
          <w:i/>
          <w:iCs/>
          <w:sz w:val="22"/>
          <w:szCs w:val="22"/>
        </w:rPr>
        <w:t xml:space="preserve">Criterios de Validacion con Justificacion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488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w:t>
            </w:r>
          </w:p>
        </w:tc>
        <w:tc>
          <w:tcPr>
            <w:tcW w:type="dxa" w:w="3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Criterio de Validacion</w:t>
            </w:r>
          </w:p>
        </w:tc>
        <w:tc>
          <w:tcPr>
            <w:tcW w:type="dxa" w:w="4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Justificacion y Fuente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1</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 recargar la pagina (F5, Ctrl+R o cierre y reapertura de pestana), el sistema debe restaurar automaticamente la sesion del usuario autenticado mientras el token JWT siga vigente, sin requerir un nuevo inicio de sesion manual.</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 perdida de contexto al recargar viola la heuristica User control and freedom (Nielsen, 1995) y la expectativa estandar de aplicaciones web profesionales. OWASP Session Management Cheat Sheet (2023) avala el uso de tokens de refresco persistidos en almacenamiento local para mantener sesiones cortas con re-hidratacion automatica.</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2</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 vista activa al momento de recargar (buscador, explorador, asistente IA, favoritos, historial) debe restaurarse en lo posible, manteniendo el estado consultable previo del usuario.</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El principio de preservacion de contexto (Nielsen Norman Group, 2022) reduce el costo cognitivo de retomar tareas interrumpidas y mejora la productividad operativa, especialmente en sesiones de despacho prolongadas.</w:t>
            </w:r>
          </w:p>
        </w:tc>
      </w:tr>
    </w:tbl>
    <w:p>
      <w:pPr>
        <w:pageBreakBefore/>
      </w:pPr>
    </w:p>
    <w:p>
      <w:pPr>
        <w:pStyle w:val="Heading2"/>
        <w:spacing w:after="160" w:before="280"/>
      </w:pPr>
      <w:r>
        <w:rPr>
          <w:b/>
          <w:bCs/>
          <w:color w:val="2E75B6"/>
          <w:sz w:val="28"/>
          <w:szCs w:val="28"/>
        </w:rPr>
        <w:t xml:space="preserve">6.2. Refresco visual del sistema con identidad profesional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pPr>
            <w:r>
              <w:rPr>
                <w:b/>
                <w:bCs/>
                <w:color w:val="1F4E79"/>
                <w:sz w:val="24"/>
                <w:szCs w:val="24"/>
              </w:rPr>
              <w:t xml:space="preserve">Historia de Usuario</w:t>
            </w:r>
          </w:p>
        </w:tc>
      </w:tr>
      <w:tr>
        <w:tc>
          <w:tcPr>
            <w:tcW w:type="dxa" w:w="9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Yo como despachante de aduana, necesito que la interfaz del sistema tenga una estetica visual coherente, moderna y profesional, para sentir confianza en una herramienta que utilizo en mi practica regulada y para reducir la fatiga visual durante jornadas extensas de uso.</w:t>
            </w:r>
          </w:p>
        </w:tc>
      </w:tr>
    </w:tbl>
    <w:p>
      <w:pPr>
        <w:spacing w:after="120" w:before="200"/>
      </w:pPr>
      <w:r>
        <w:rPr>
          <w:b/>
          <w:bCs/>
          <w:i/>
          <w:iCs/>
          <w:sz w:val="22"/>
          <w:szCs w:val="22"/>
        </w:rPr>
        <w:t xml:space="preserve">Criterios de Validacion con Justificacion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488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w:t>
            </w:r>
          </w:p>
        </w:tc>
        <w:tc>
          <w:tcPr>
            <w:tcW w:type="dxa" w:w="3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Criterio de Validacion</w:t>
            </w:r>
          </w:p>
        </w:tc>
        <w:tc>
          <w:tcPr>
            <w:tcW w:type="dxa" w:w="4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Justificacion y Fuente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1</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El sistema debe presentar una paleta cromatica consistente en todas las vistas (no mas de tres colores principales y dos secundarios), tipografia unica (familia y escala definida) y espaciado uniforme entre componentes.</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 consistencia visual reduce la carga cognitiva del usuario (Nielsen Heuristic #4: Consistency and Standards, 1995). Los sistemas de diseno establecidos como Material Design (Google, 2023) y Tailwind UI (Tailwind Labs, 2024) establecen que limitar la paleta y la tipografia es condicion necesaria para una identidad visual coherente.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2</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Los elementos interactivos (botones, campos, enlaces) deben tener estados visuales claros y diferenciados para hover, focus, disabled y active, con transiciones suaves inferiores a 200 ms.</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El feedback visual de estados es uno de los principios fundamentales de affordance (Norman, The Design of Everyday Things, 1988). Las transiciones bajo 200 ms se perciben como instantaneas (Nielsen, Response Times, 1993) sin distraer del flujo de trabajo.</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3</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El diseno debe transmitir profesionalismo institucional (paleta sobria, espacio en blanco generoso, ausencia de elementos decorativos no funcionales), apropiado para un sistema usado por despachantes autorizados en el contexto regulado de aduanas.</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El estilo visual de una herramienta condiciona la percepcion de credibilidad de la institucion que la opera (Fogg et al., Credibility Online, Stanford Persuasive Tech Lab, 2003). En sistemas regulados, la sobriedad visual transmite seriedad y reduce dudas sobre la confiabilidad de los datos presentados.</w:t>
            </w:r>
          </w:p>
        </w:tc>
      </w:tr>
    </w:tbl>
    <w:p>
      <w:pPr>
        <w:pageBreakBefore/>
      </w:pPr>
    </w:p>
    <w:p>
      <w:pPr>
        <w:pStyle w:val="Heading2"/>
        <w:spacing w:after="160" w:before="280"/>
      </w:pPr>
      <w:r>
        <w:rPr>
          <w:b/>
          <w:bCs/>
          <w:color w:val="2E75B6"/>
          <w:sz w:val="28"/>
          <w:szCs w:val="28"/>
        </w:rPr>
        <w:t xml:space="preserve">6.3. Cierre automatico de sesion por inactividad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pPr>
            <w:r>
              <w:rPr>
                <w:b/>
                <w:bCs/>
                <w:color w:val="1F4E79"/>
                <w:sz w:val="24"/>
                <w:szCs w:val="24"/>
              </w:rPr>
              <w:t xml:space="preserve">Historia de Usuario</w:t>
            </w:r>
          </w:p>
        </w:tc>
      </w:tr>
      <w:tr>
        <w:tc>
          <w:tcPr>
            <w:tcW w:type="dxa" w:w="9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Yo como despachante de aduana, necesito que el sistema cierre automaticamente mi sesion tras 15 minutos sin actividad, para proteger mi acceso ante el riesgo de dejar mi equipo desatendido en una oficina compartida o expuesto a accesos no autorizados.</w:t>
            </w:r>
          </w:p>
        </w:tc>
      </w:tr>
    </w:tbl>
    <w:p>
      <w:pPr>
        <w:spacing w:after="120" w:before="200"/>
      </w:pPr>
      <w:r>
        <w:rPr>
          <w:b/>
          <w:bCs/>
          <w:i/>
          <w:iCs/>
          <w:sz w:val="22"/>
          <w:szCs w:val="22"/>
        </w:rPr>
        <w:t xml:space="preserve">Criterios de Validacion con Justificacion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488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w:t>
            </w:r>
          </w:p>
        </w:tc>
        <w:tc>
          <w:tcPr>
            <w:tcW w:type="dxa" w:w="3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Criterio de Validacion</w:t>
            </w:r>
          </w:p>
        </w:tc>
        <w:tc>
          <w:tcPr>
            <w:tcW w:type="dxa" w:w="4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Justificacion y Fuente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1</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Tras 15 minutos consecutivos sin actividad del usuario (sin pulsaciones de teclado, clics, scroll o solicitudes al backend), el sistema debe cerrar la sesion automaticamente y redirigir a la pantalla de inicio de sesion.</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OWASP Application Security Verification Standard v4.0 (Seccion 3.3) recomienda timeouts de inactividad entre 5 y 15 minutos para aplicaciones de riesgo medio. La trazabilidad obligatoria por Ley 1990 hace critico que ninguna accion quede registrada bajo una sesion abandonada y posiblemente usurpada.</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2</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Sesenta segundos antes del cierre, el sistema debe mostrar al usuario un aviso modal indicando el cierre inminente, con un boton Continuar sesion que reinicie el temporizador.</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El aviso previo respeta el principio de Error Prevention (Nielsen Heuristic #5, 1995): el usuario activo puede prolongar su sesion sin perder trabajo en curso, mientras que el usuario ausente no impide el cierre automatico.</w:t>
            </w:r>
          </w:p>
        </w:tc>
      </w:tr>
    </w:tbl>
    <w:p>
      <w:pPr>
        <w:pageBreakBefore/>
      </w:pPr>
    </w:p>
    <w:p>
      <w:pPr>
        <w:pStyle w:val="Heading2"/>
        <w:spacing w:after="160" w:before="280"/>
      </w:pPr>
      <w:r>
        <w:rPr>
          <w:b/>
          <w:bCs/>
          <w:color w:val="2E75B6"/>
          <w:sz w:val="28"/>
          <w:szCs w:val="28"/>
        </w:rPr>
        <w:t xml:space="preserve">6.4. Robustez y hardening de los protocolos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pPr>
            <w:r>
              <w:rPr>
                <w:b/>
                <w:bCs/>
                <w:color w:val="1F4E79"/>
                <w:sz w:val="24"/>
                <w:szCs w:val="24"/>
              </w:rPr>
              <w:t xml:space="preserve">Historia de Usuario</w:t>
            </w:r>
          </w:p>
        </w:tc>
      </w:tr>
      <w:tr>
        <w:tc>
          <w:tcPr>
            <w:tcW w:type="dxa" w:w="9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Yo como despachante de aduana, necesito que el sistema sea resistente a errores inesperados, abusos de uso y entradas malformadas, para que mi acceso al arancel no se interrumpa por fallas imprevistas ni quede expuesto a vulnerabilidades durante mi jornada laboral.</w:t>
            </w:r>
          </w:p>
        </w:tc>
      </w:tr>
    </w:tbl>
    <w:p>
      <w:pPr>
        <w:spacing w:after="120" w:before="200"/>
      </w:pPr>
      <w:r>
        <w:rPr>
          <w:b/>
          <w:bCs/>
          <w:i/>
          <w:iCs/>
          <w:sz w:val="22"/>
          <w:szCs w:val="22"/>
        </w:rPr>
        <w:t xml:space="preserve">Criterios de Validacion con Justificacion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488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w:t>
            </w:r>
          </w:p>
        </w:tc>
        <w:tc>
          <w:tcPr>
            <w:tcW w:type="dxa" w:w="3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Criterio de Validacion</w:t>
            </w:r>
          </w:p>
        </w:tc>
        <w:tc>
          <w:tcPr>
            <w:tcW w:type="dxa" w:w="4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2"/>
                <w:szCs w:val="22"/>
              </w:rPr>
              <w:t xml:space="preserve">Justificacion y Fuente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1</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Los endpoints sensibles (inicio de sesion, recuperacion de contrasena, asistente IA) deben aplicar limitacion de tasa (rate limiting) por usuario y por direccion IP, rechazando solicitudes excesivas con codigo HTTP 429.</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OWASP Top 10 (2021) categoria A04 Insecure Design y A07 Identification and Authentication Failures recomienda explicitamente el rate limiting como defensa contra ataques de fuerza bruta, credential stuffing y abuso de cuota de servicios pagos (como la API de IA).</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2</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Toda excepcion no controlada en el backend debe ser capturada por un middleware global de manejo de errores, devolviendo al cliente una respuesta HTTP 500 con mensaje generico (sin exponer trazas de pila ni rutas internas) y registrando el detalle completo en los logs del servidor.</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 exposicion de trazas de pila al cliente es una vulnerabilidad clasica (CWE-209: Information Exposure Through an Error Message). El registro local del detalle permite diagnostico sin comprometer la confidencialidad de la arquitectura del sistema (OWASP Logging Cheat Sheet, 2023).</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2"/>
                <w:szCs w:val="22"/>
              </w:rPr>
              <w:t xml:space="preserve">3</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Todos los endpoints deben validar y sanitizar los datos de entrada antes de procesarlos (tipos, longitudes, formatos), rechazando con codigo HTTP 400 cualquier payload que no cumpla el contrato esperado.</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 validacion estricta en el limite del sistema es la primera linea de defensa contra inyecciones, desbordamientos y errores en cadena (NIST SP 800-53 SI-10 Information Input Validation). Tambien previene caidas del servicio por entradas malformadas que rompan suposiciones del codigo.</w:t>
            </w:r>
          </w:p>
        </w:tc>
      </w:tr>
    </w:tbl>
    <w:p>
      <w:pPr>
        <w:pageBreakBefore/>
      </w:pPr>
    </w:p>
    <w:p>
      <w:pPr>
        <w:pStyle w:val="Heading1"/>
        <w:spacing w:after="200" w:before="360"/>
      </w:pPr>
      <w:r>
        <w:rPr>
          <w:b/>
          <w:bCs/>
          <w:color w:val="1F4E79"/>
          <w:sz w:val="32"/>
          <w:szCs w:val="32"/>
        </w:rPr>
        <w:t xml:space="preserve">Resumen de estimacion - Epica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rPr>
              <w:t xml:space="preserve">Historia de Usuario</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rPr>
              <w:t xml:space="preserve">Puntos</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rPr>
              <w:t xml:space="preserve">Naturaleza</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HU 6.1 Persistencia de sesion al recargar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8</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Frontend + manejo de refresh token</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HU 6.2 Refresco visual del sistema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13</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Sistema de diseno completo (UI)</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HU 6.3 Cierre automatico de sesion (15 min)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5</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Seguridad + modal de aviso</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HU 6.4 Hardening de protocolos de seguridad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13</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Backend (rate limit, errores, validacion)</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TOTAL EPICA 6</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rPr>
              <w:t xml:space="preserve">39</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Calidad transversal del sistema</w:t>
            </w:r>
          </w:p>
        </w:tc>
      </w:tr>
    </w:tbl>
    <w:p>
      <w:pPr>
        <w:spacing w:after="120"/>
      </w:pPr>
      <w:r>
        <w:t xml:space="preserve"> </w:t>
      </w:r>
    </w:p>
    <w:p>
      <w:pPr>
        <w:spacing w:after="120"/>
      </w:pPr>
      <w:r>
        <w:rPr>
          <w:i/>
          <w:iCs/>
        </w:rPr>
        <w:t xml:space="preserve">La Epica 6 no introduce funcionalidades nuevas para el despachante, sino que eleva el sistema al nivel de madurez exigible a una herramienta profesional usada en un contexto regulado por la Ley 1990. Su completitud es condicion necesaria para una puesta en operacion real, mas alla del entorno academico.</w:t>
      </w:r>
    </w:p>
    <w:p>
      <w:pPr>
        <w:spacing w:after="200" w:before="600"/>
        <w:jc w:val="center"/>
      </w:pPr>
      <w:r>
        <w:rPr>
          <w:color w:val="808080"/>
          <w:sz w:val="18"/>
          <w:szCs w:val="18"/>
        </w:rPr>
        <w:t xml:space="preserve">SISARM - Adendum Epica 6  |  Version 2.2  |  Junio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2026-06-15T01:28:55.638Z</dcterms:created>
  <dcterms:modified xsi:type="dcterms:W3CDTF">2026-06-15T01:28:55.639Z</dcterms:modified>
</cp:coreProperties>
</file>

<file path=docProps/custom.xml><?xml version="1.0" encoding="utf-8"?>
<Properties xmlns="http://schemas.openxmlformats.org/officeDocument/2006/custom-properties" xmlns:vt="http://schemas.openxmlformats.org/officeDocument/2006/docPropsVTypes"/>
</file>