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jc w:val="center"/>
      </w:pPr>
      <w:r>
        <w:rPr>
          <w:rFonts w:ascii="Calibri" w:cs="Calibri" w:eastAsia="Calibri" w:hAnsi="Calibri"/>
          <w:b/>
          <w:bCs/>
          <w:color w:val="0F4C81"/>
          <w:sz w:val="32"/>
          <w:szCs w:val="32"/>
        </w:rPr>
        <w:t xml:space="preserve">UNIVERSIDAD PRIVADA FRANZ TAMAYO</w:t>
      </w:r>
    </w:p>
    <w:p>
      <w:pPr>
        <w:spacing w:after="60"/>
        <w:jc w:val="center"/>
      </w:pPr>
      <w:r>
        <w:rPr>
          <w:rFonts w:ascii="Calibri" w:cs="Calibri" w:eastAsia="Calibri" w:hAnsi="Calibri"/>
          <w:color w:val="6B7280"/>
          <w:sz w:val="24"/>
          <w:szCs w:val="24"/>
        </w:rPr>
        <w:t xml:space="preserve">Facultad de Ciencias Empresariales y de la Tecnología</w:t>
      </w:r>
    </w:p>
    <w:p>
      <w:pPr>
        <w:spacing w:after="600"/>
        <w:jc w:val="center"/>
      </w:pPr>
      <w:r>
        <w:rPr>
          <w:rFonts w:ascii="Calibri" w:cs="Calibri" w:eastAsia="Calibri" w:hAnsi="Calibri"/>
          <w:i/>
          <w:iCs/>
          <w:color w:val="6B7280"/>
          <w:sz w:val="22"/>
          <w:szCs w:val="22"/>
        </w:rPr>
        <w:t xml:space="preserve">Carreras de Contaduría Pública y Ingeniería de Sistemas</w:t>
      </w:r>
    </w:p>
    <w:p>
      <w:r>
        <w:t xml:space="preserve"> </w:t>
      </w:r>
    </w:p>
    <w:p>
      <w:r>
        <w:t xml:space="preserve"> </w:t>
      </w:r>
    </w:p>
    <w:p>
      <w:pPr>
        <w:spacing w:after="80"/>
        <w:jc w:val="center"/>
      </w:pPr>
      <w:r>
        <w:rPr>
          <w:sz w:val="72"/>
          <w:szCs w:val="72"/>
        </w:rPr>
        <w:t xml:space="preserve">🚦</w:t>
      </w:r>
    </w:p>
    <w:p>
      <w:pPr>
        <w:jc w:val="center"/>
      </w:pPr>
      <w:r>
        <w:rPr>
          <w:rFonts w:ascii="Calibri" w:cs="Calibri" w:eastAsia="Calibri" w:hAnsi="Calibri"/>
          <w:b/>
          <w:bCs/>
          <w:color w:val="0F4C81"/>
          <w:sz w:val="48"/>
          <w:szCs w:val="48"/>
        </w:rPr>
        <w:t xml:space="preserve">SEMÁFORO PRESUPUESTARIO</w:t>
      </w:r>
    </w:p>
    <w:p>
      <w:pPr>
        <w:spacing w:after="200"/>
        <w:jc w:val="center"/>
      </w:pPr>
      <w:r>
        <w:rPr>
          <w:rFonts w:ascii="Calibri" w:cs="Calibri" w:eastAsia="Calibri" w:hAnsi="Calibri"/>
          <w:i/>
          <w:iCs/>
          <w:color w:val="1F2937"/>
          <w:sz w:val="26"/>
          <w:szCs w:val="26"/>
        </w:rPr>
        <w:t xml:space="preserve">Sistema web de control financiero personal con predicción dinámica</w:t>
      </w:r>
    </w:p>
    <w:p>
      <w:pPr>
        <w:spacing w:after="600"/>
        <w:jc w:val="center"/>
      </w:pPr>
      <w:r>
        <w:rPr>
          <w:rFonts w:ascii="Calibri" w:cs="Calibri" w:eastAsia="Calibri" w:hAnsi="Calibri"/>
          <w:color w:val="6B7280"/>
          <w:sz w:val="22"/>
          <w:szCs w:val="22"/>
        </w:rPr>
        <w:t xml:space="preserve">Aplicación del método de Runge-Kutta de cuarto orden para la proyección del gasto mensual</w:t>
      </w:r>
    </w:p>
    <w:p>
      <w:r>
        <w:t xml:space="preserve"> </w:t>
      </w:r>
    </w:p>
    <w:p>
      <w:r>
        <w:t xml:space="preserve"> </w:t>
      </w:r>
    </w:p>
    <w:p>
      <w:r>
        <w:t xml:space="preserve"> </w:t>
      </w:r>
    </w:p>
    <w:p>
      <w:pPr>
        <w:jc w:val="center"/>
      </w:pPr>
      <w:r>
        <w:rPr>
          <w:rFonts w:ascii="Calibri" w:cs="Calibri" w:eastAsia="Calibri" w:hAnsi="Calibri"/>
          <w:b/>
          <w:bCs/>
          <w:color w:val="1F2937"/>
          <w:sz w:val="24"/>
          <w:szCs w:val="24"/>
        </w:rPr>
        <w:t xml:space="preserve">INFORME DE PROYECTO INTERDISCIPLINARIO</w:t>
      </w:r>
    </w:p>
    <w:p>
      <w:pPr>
        <w:spacing w:after="500"/>
        <w:jc w:val="center"/>
      </w:pPr>
      <w:r>
        <w:rPr>
          <w:rFonts w:ascii="Calibri" w:cs="Calibri" w:eastAsia="Calibri" w:hAnsi="Calibri"/>
          <w:color w:val="6B7280"/>
          <w:sz w:val="22"/>
          <w:szCs w:val="22"/>
        </w:rPr>
        <w:t xml:space="preserve">Asignatura: Métodos Numéricos</w:t>
      </w:r>
    </w:p>
    <w:p>
      <w:r>
        <w:t xml:space="preserve"> </w:t>
      </w:r>
    </w:p>
    <w:p>
      <w:r>
        <w:t xml:space="preserve"> </w:t>
      </w:r>
    </w:p>
    <w:p>
      <w:r>
        <w:t xml:space="preserve"> </w:t>
      </w:r>
    </w:p>
    <w:p>
      <w:r>
        <w:t xml:space="preserve"> </w:t>
      </w:r>
    </w:p>
    <w:p>
      <w:pPr>
        <w:spacing w:after="80"/>
        <w:jc w:val="center"/>
      </w:pPr>
      <w:r>
        <w:rPr>
          <w:rFonts w:ascii="Calibri" w:cs="Calibri" w:eastAsia="Calibri" w:hAnsi="Calibri"/>
          <w:b/>
          <w:bCs/>
          <w:sz w:val="22"/>
          <w:szCs w:val="22"/>
        </w:rPr>
        <w:t xml:space="preserve">Estudiante: Rolando Raúl Gutiérrez</w:t>
      </w:r>
    </w:p>
    <w:p>
      <w:pPr>
        <w:spacing w:after="80"/>
        <w:jc w:val="center"/>
      </w:pPr>
      <w:r>
        <w:rPr>
          <w:rFonts w:ascii="Calibri" w:cs="Calibri" w:eastAsia="Calibri" w:hAnsi="Calibri"/>
          <w:color w:val="6B7280"/>
          <w:sz w:val="22"/>
          <w:szCs w:val="22"/>
        </w:rPr>
        <w:t xml:space="preserve">Gestión 2026 · Junio</w:t>
      </w:r>
    </w:p>
    <w:p>
      <w:r>
        <w:br w:type="page"/>
      </w:r>
    </w:p>
    <w:p>
      <w:pPr>
        <w:pStyle w:val="Heading1"/>
        <w:spacing w:after="200" w:before="360"/>
      </w:pPr>
      <w:r>
        <w:rPr>
          <w:rFonts w:ascii="Calibri" w:cs="Calibri" w:eastAsia="Calibri" w:hAnsi="Calibri"/>
          <w:b/>
          <w:bCs/>
          <w:color w:val="0F4C81"/>
          <w:sz w:val="32"/>
          <w:szCs w:val="32"/>
        </w:rPr>
        <w:t xml:space="preserve">Resumen ejecutivo</w:t>
      </w:r>
    </w:p>
    <w:p>
      <w:pPr>
        <w:spacing w:after="120" w:before="80" w:line="320"/>
        <w:jc w:val="both"/>
      </w:pPr>
      <w:r>
        <w:rPr>
          <w:rFonts w:ascii="Calibri" w:cs="Calibri" w:eastAsia="Calibri" w:hAnsi="Calibri"/>
          <w:sz w:val="22"/>
          <w:szCs w:val="22"/>
        </w:rPr>
        <w:t xml:space="preserve">El presente informe describe el diseño, desarrollo e implementación del Semáforo Presupuestario, una aplicación web pensada para que estudiantes y profesionales puedan llevar el control de sus finanzas personales de forma visual e intuitiva. El sistema clasifica el nivel de ejecución del presupuesto mensual mediante un código de colores tipo semáforo (verde, amarillo y rojo) e integra una capa de predicción que estima cuál será el gasto al cierre del mes en función del comportamiento observado del usuario.</w:t>
      </w:r>
    </w:p>
    <w:p>
      <w:pPr>
        <w:spacing w:after="120" w:before="80" w:line="320"/>
        <w:jc w:val="both"/>
      </w:pPr>
      <w:r>
        <w:rPr>
          <w:rFonts w:ascii="Calibri" w:cs="Calibri" w:eastAsia="Calibri" w:hAnsi="Calibri"/>
          <w:sz w:val="22"/>
          <w:szCs w:val="22"/>
        </w:rPr>
        <w:t xml:space="preserve">La proyección se obtiene mediante la integración numérica del método de Runge-Kutta de cuarto orden (RK4), aplicado a una ecuación diferencial ordinaria cuya variable independiente es el día del mes y cuya variable dependiente es el gasto acumulado. La tasa de gasto diaria se estima a partir del historial reciente del usuario y se actualiza en tiempo real con cada movimiento.</w:t>
      </w:r>
    </w:p>
    <w:p>
      <w:pPr>
        <w:spacing w:after="120" w:before="80" w:line="320"/>
        <w:jc w:val="both"/>
      </w:pPr>
      <w:r>
        <w:rPr>
          <w:rFonts w:ascii="Calibri" w:cs="Calibri" w:eastAsia="Calibri" w:hAnsi="Calibri"/>
          <w:sz w:val="22"/>
          <w:szCs w:val="22"/>
        </w:rPr>
        <w:t xml:space="preserve">El proyecto combina competencias de las carreras de Contaduría Pública, en el dominio del problema (presupuesto, ingresos, egresos, categorías), e Ingeniería de Sistemas, en la implementación tecnológica (React 19, Vite, Tailwind CSS, recharts), y se apoya en la asignatura de Métodos Numéricos para fundamentar matemáticamente la capa predictiva.</w:t>
      </w:r>
    </w:p>
    <w:p>
      <w:pPr>
        <w:pStyle w:val="Heading1"/>
        <w:spacing w:after="200" w:before="360"/>
      </w:pPr>
      <w:r>
        <w:rPr>
          <w:rFonts w:ascii="Calibri" w:cs="Calibri" w:eastAsia="Calibri" w:hAnsi="Calibri"/>
          <w:b/>
          <w:bCs/>
          <w:color w:val="0F4C81"/>
          <w:sz w:val="32"/>
          <w:szCs w:val="32"/>
        </w:rPr>
        <w:t xml:space="preserve">1. Introducción</w:t>
      </w:r>
    </w:p>
    <w:p>
      <w:pPr>
        <w:spacing w:after="120" w:before="80" w:line="320"/>
        <w:jc w:val="both"/>
      </w:pPr>
      <w:r>
        <w:rPr>
          <w:rFonts w:ascii="Calibri" w:cs="Calibri" w:eastAsia="Calibri" w:hAnsi="Calibri"/>
          <w:sz w:val="22"/>
          <w:szCs w:val="22"/>
        </w:rPr>
        <w:t xml:space="preserve">Las finanzas personales constituyen uno de los retos más significativos para los estudiantes universitarios y, en general, para cualquier persona con ingresos limitados. La ausencia de herramientas que permitan visualizar de manera rápida e inteligible el estado del presupuesto suele desembocar en sobregiros, deudas innecesarias y una sensación general de descontrol financiero.</w:t>
      </w:r>
    </w:p>
    <w:p>
      <w:pPr>
        <w:spacing w:after="120" w:before="80" w:line="320"/>
        <w:jc w:val="both"/>
      </w:pPr>
      <w:r>
        <w:rPr>
          <w:rFonts w:ascii="Calibri" w:cs="Calibri" w:eastAsia="Calibri" w:hAnsi="Calibri"/>
          <w:sz w:val="22"/>
          <w:szCs w:val="22"/>
        </w:rPr>
        <w:t xml:space="preserve">El presente proyecto plantea una solución concreta: una aplicación web que reúne en una sola interfaz el registro de movimientos, el cálculo del porcentaje de ejecución, una alerta visual estilo semáforo y una proyección dinámica del comportamiento esperado al cierre del mes. La predicción se construye sobre el método de Runge-Kutta de cuarto orden, ampliamente utilizado en ingeniería y ciencias para resolver problemas de valor inicial con alta precisión.</w:t>
      </w:r>
    </w:p>
    <w:p>
      <w:pPr>
        <w:spacing w:after="120" w:before="80" w:line="320"/>
        <w:jc w:val="both"/>
      </w:pPr>
      <w:r>
        <w:rPr>
          <w:rFonts w:ascii="Calibri" w:cs="Calibri" w:eastAsia="Calibri" w:hAnsi="Calibri"/>
          <w:sz w:val="22"/>
          <w:szCs w:val="22"/>
        </w:rPr>
        <w:t xml:space="preserve">Este informe documenta el problema, los objetivos, el marco teórico de respaldo, la metodología seguida, los detalles de implementación y los resultados obtenidos. Está dirigido a docentes y revisores de las áreas de Contaduría, Sistemas y Métodos Numéricos.</w:t>
      </w:r>
    </w:p>
    <w:p>
      <w:pPr>
        <w:pStyle w:val="Heading1"/>
        <w:spacing w:after="200" w:before="360"/>
      </w:pPr>
      <w:r>
        <w:rPr>
          <w:rFonts w:ascii="Calibri" w:cs="Calibri" w:eastAsia="Calibri" w:hAnsi="Calibri"/>
          <w:b/>
          <w:bCs/>
          <w:color w:val="0F4C81"/>
          <w:sz w:val="32"/>
          <w:szCs w:val="32"/>
        </w:rPr>
        <w:t xml:space="preserve">2. Justificación</w:t>
      </w:r>
    </w:p>
    <w:p>
      <w:pPr>
        <w:spacing w:after="120" w:before="80" w:line="320"/>
        <w:jc w:val="both"/>
      </w:pPr>
      <w:r>
        <w:rPr>
          <w:rFonts w:ascii="Calibri" w:cs="Calibri" w:eastAsia="Calibri" w:hAnsi="Calibri"/>
          <w:sz w:val="22"/>
          <w:szCs w:val="22"/>
        </w:rPr>
        <w:t xml:space="preserve">Desde la perspectiva contable, el proyecto materializa los conceptos clásicos de presupuesto, ejecución y desviación en una herramienta operativa. Desde la perspectiva de sistemas, integra un stack moderno de desarrollo frontend con buenas prácticas de arquitectura por componentes, separación de responsabilidades y persistencia local. Desde la perspectiva de los métodos numéricos, demuestra una aplicación real, cotidiana y verificable del método RK4 más allá del ejercicio puramente académico.</w:t>
      </w:r>
    </w:p>
    <w:p>
      <w:pPr>
        <w:spacing w:after="120" w:before="80" w:line="320"/>
        <w:jc w:val="both"/>
      </w:pPr>
      <w:r>
        <w:rPr>
          <w:rFonts w:ascii="Calibri" w:cs="Calibri" w:eastAsia="Calibri" w:hAnsi="Calibri"/>
          <w:sz w:val="22"/>
          <w:szCs w:val="22"/>
        </w:rPr>
        <w:t xml:space="preserve">La interdisciplinariedad del proyecto es su mayor valor: cada carrera aporta lo que mejor sabe hacer y el resultado es una herramienta que ninguna de ellas podría haber producido por separado con la misma profundidad.</w:t>
      </w:r>
    </w:p>
    <w:p>
      <w:pPr>
        <w:pStyle w:val="Heading1"/>
        <w:spacing w:after="200" w:before="360"/>
      </w:pPr>
      <w:r>
        <w:rPr>
          <w:rFonts w:ascii="Calibri" w:cs="Calibri" w:eastAsia="Calibri" w:hAnsi="Calibri"/>
          <w:b/>
          <w:bCs/>
          <w:color w:val="0F4C81"/>
          <w:sz w:val="32"/>
          <w:szCs w:val="32"/>
        </w:rPr>
        <w:t xml:space="preserve">3. Objetivos</w:t>
      </w:r>
    </w:p>
    <w:p>
      <w:pPr>
        <w:pStyle w:val="Heading2"/>
        <w:spacing w:after="140" w:before="280"/>
      </w:pPr>
      <w:r>
        <w:rPr>
          <w:rFonts w:ascii="Calibri" w:cs="Calibri" w:eastAsia="Calibri" w:hAnsi="Calibri"/>
          <w:b/>
          <w:bCs/>
          <w:color w:val="0F4C81"/>
          <w:sz w:val="26"/>
          <w:szCs w:val="26"/>
        </w:rPr>
        <w:t xml:space="preserve">3.1 Objetivo general</w:t>
      </w:r>
    </w:p>
    <w:p>
      <w:pPr>
        <w:spacing w:after="120" w:before="80" w:line="320"/>
        <w:jc w:val="both"/>
      </w:pPr>
      <w:r>
        <w:rPr>
          <w:rFonts w:ascii="Calibri" w:cs="Calibri" w:eastAsia="Calibri" w:hAnsi="Calibri"/>
          <w:sz w:val="22"/>
          <w:szCs w:val="22"/>
        </w:rPr>
        <w:t xml:space="preserve">Desarrollar una aplicación web interactiva que permita al usuario registrar y monitorear sus gastos mensuales mediante un sistema visual tipo semáforo, e incorporar un módulo predictivo basado en el método de Runge-Kutta de cuarto orden para anticipar el cierre presupuestario.</w:t>
      </w:r>
    </w:p>
    <w:p>
      <w:pPr>
        <w:pStyle w:val="Heading2"/>
        <w:spacing w:after="140" w:before="280"/>
      </w:pPr>
      <w:r>
        <w:rPr>
          <w:rFonts w:ascii="Calibri" w:cs="Calibri" w:eastAsia="Calibri" w:hAnsi="Calibri"/>
          <w:b/>
          <w:bCs/>
          <w:color w:val="0F4C81"/>
          <w:sz w:val="26"/>
          <w:szCs w:val="26"/>
        </w:rPr>
        <w:t xml:space="preserve">3.2 Objetivos específicos</w:t>
      </w:r>
    </w:p>
    <w:p>
      <w:pPr>
        <w:pStyle w:val="ListParagraph"/>
        <w:numPr>
          <w:ilvl w:val="0"/>
          <w:numId w:val="2"/>
        </w:numPr>
        <w:spacing w:after="60" w:before="40" w:line="300"/>
      </w:pPr>
      <w:r>
        <w:rPr>
          <w:rFonts w:ascii="Calibri" w:cs="Calibri" w:eastAsia="Calibri" w:hAnsi="Calibri"/>
          <w:sz w:val="22"/>
          <w:szCs w:val="22"/>
        </w:rPr>
        <w:t xml:space="preserve">Diseñar un modelo de datos que represente el presupuesto mensual, los gastos y las categorías de movimiento.</w:t>
      </w:r>
    </w:p>
    <w:p>
      <w:pPr>
        <w:pStyle w:val="ListParagraph"/>
        <w:numPr>
          <w:ilvl w:val="0"/>
          <w:numId w:val="2"/>
        </w:numPr>
        <w:spacing w:after="60" w:before="40" w:line="300"/>
      </w:pPr>
      <w:r>
        <w:rPr>
          <w:rFonts w:ascii="Calibri" w:cs="Calibri" w:eastAsia="Calibri" w:hAnsi="Calibri"/>
          <w:sz w:val="22"/>
          <w:szCs w:val="22"/>
        </w:rPr>
        <w:t xml:space="preserve">Implementar una interfaz de usuario clara, responsive y accesible, capaz de mostrar en tiempo real el estado del presupuesto.</w:t>
      </w:r>
    </w:p>
    <w:p>
      <w:pPr>
        <w:pStyle w:val="ListParagraph"/>
        <w:numPr>
          <w:ilvl w:val="0"/>
          <w:numId w:val="2"/>
        </w:numPr>
        <w:spacing w:after="60" w:before="40" w:line="300"/>
      </w:pPr>
      <w:r>
        <w:rPr>
          <w:rFonts w:ascii="Calibri" w:cs="Calibri" w:eastAsia="Calibri" w:hAnsi="Calibri"/>
          <w:sz w:val="22"/>
          <w:szCs w:val="22"/>
        </w:rPr>
        <w:t xml:space="preserve">Formular una ecuación diferencial ordinaria que modele la evolución del gasto acumulado en función de la tasa de gasto observada.</w:t>
      </w:r>
    </w:p>
    <w:p>
      <w:pPr>
        <w:pStyle w:val="ListParagraph"/>
        <w:numPr>
          <w:ilvl w:val="0"/>
          <w:numId w:val="2"/>
        </w:numPr>
        <w:spacing w:after="60" w:before="40" w:line="300"/>
      </w:pPr>
      <w:r>
        <w:rPr>
          <w:rFonts w:ascii="Calibri" w:cs="Calibri" w:eastAsia="Calibri" w:hAnsi="Calibri"/>
          <w:sz w:val="22"/>
          <w:szCs w:val="22"/>
        </w:rPr>
        <w:t xml:space="preserve">Implementar el método de Runge-Kutta de cuarto orden en JavaScript y aplicarlo al modelo definido.</w:t>
      </w:r>
    </w:p>
    <w:p>
      <w:pPr>
        <w:pStyle w:val="ListParagraph"/>
        <w:numPr>
          <w:ilvl w:val="0"/>
          <w:numId w:val="2"/>
        </w:numPr>
        <w:spacing w:after="60" w:before="40" w:line="300"/>
      </w:pPr>
      <w:r>
        <w:rPr>
          <w:rFonts w:ascii="Calibri" w:cs="Calibri" w:eastAsia="Calibri" w:hAnsi="Calibri"/>
          <w:sz w:val="22"/>
          <w:szCs w:val="22"/>
        </w:rPr>
        <w:t xml:space="preserve">Visualizar mediante una gráfica comparativa el gasto real frente a la proyección obtenida con RK4.</w:t>
      </w:r>
    </w:p>
    <w:p>
      <w:pPr>
        <w:pStyle w:val="ListParagraph"/>
        <w:numPr>
          <w:ilvl w:val="0"/>
          <w:numId w:val="2"/>
        </w:numPr>
        <w:spacing w:after="60" w:before="40" w:line="300"/>
      </w:pPr>
      <w:r>
        <w:rPr>
          <w:rFonts w:ascii="Calibri" w:cs="Calibri" w:eastAsia="Calibri" w:hAnsi="Calibri"/>
          <w:sz w:val="22"/>
          <w:szCs w:val="22"/>
        </w:rPr>
        <w:t xml:space="preserve">Persistir la información del usuario en el navegador para mantener la continuidad entre sesiones.</w:t>
      </w:r>
    </w:p>
    <w:p>
      <w:pPr>
        <w:pStyle w:val="ListParagraph"/>
        <w:numPr>
          <w:ilvl w:val="0"/>
          <w:numId w:val="2"/>
        </w:numPr>
        <w:spacing w:after="60" w:before="40" w:line="300"/>
      </w:pPr>
      <w:r>
        <w:rPr>
          <w:rFonts w:ascii="Calibri" w:cs="Calibri" w:eastAsia="Calibri" w:hAnsi="Calibri"/>
          <w:sz w:val="22"/>
          <w:szCs w:val="22"/>
        </w:rPr>
        <w:t xml:space="preserve">Validar el correcto funcionamiento del sistema mediante pruebas de compilación, linting y casos límite numéricos.</w:t>
      </w:r>
    </w:p>
    <w:p>
      <w:pPr>
        <w:pStyle w:val="Heading1"/>
        <w:spacing w:after="200" w:before="360"/>
      </w:pPr>
      <w:r>
        <w:rPr>
          <w:rFonts w:ascii="Calibri" w:cs="Calibri" w:eastAsia="Calibri" w:hAnsi="Calibri"/>
          <w:b/>
          <w:bCs/>
          <w:color w:val="0F4C81"/>
          <w:sz w:val="32"/>
          <w:szCs w:val="32"/>
        </w:rPr>
        <w:t xml:space="preserve">4. Marco teórico</w:t>
      </w:r>
    </w:p>
    <w:p>
      <w:pPr>
        <w:pStyle w:val="Heading2"/>
        <w:spacing w:after="140" w:before="280"/>
      </w:pPr>
      <w:r>
        <w:rPr>
          <w:rFonts w:ascii="Calibri" w:cs="Calibri" w:eastAsia="Calibri" w:hAnsi="Calibri"/>
          <w:b/>
          <w:bCs/>
          <w:color w:val="0F4C81"/>
          <w:sz w:val="26"/>
          <w:szCs w:val="26"/>
        </w:rPr>
        <w:t xml:space="preserve">4.1 Presupuesto personal y control financiero</w:t>
      </w:r>
    </w:p>
    <w:p>
      <w:pPr>
        <w:spacing w:after="120" w:before="80" w:line="320"/>
        <w:jc w:val="both"/>
      </w:pPr>
      <w:r>
        <w:rPr>
          <w:rFonts w:ascii="Calibri" w:cs="Calibri" w:eastAsia="Calibri" w:hAnsi="Calibri"/>
          <w:sz w:val="22"/>
          <w:szCs w:val="22"/>
        </w:rPr>
        <w:t xml:space="preserve">Un presupuesto personal es una herramienta de planificación que distribuye los ingresos de una persona entre sus categorías de gasto a lo largo de un periodo determinado, comúnmente mensual. Su correcta administración requiere medir constantemente la diferencia entre lo planeado y lo ejecutado, conocida como desviación presupuestaria. Cuando esta desviación se vuelve crítica, el sistema debe alertar al usuario antes de que se materialice el sobregiro.</w:t>
      </w:r>
    </w:p>
    <w:p>
      <w:pPr>
        <w:pStyle w:val="Heading2"/>
        <w:spacing w:after="140" w:before="280"/>
      </w:pPr>
      <w:r>
        <w:rPr>
          <w:rFonts w:ascii="Calibri" w:cs="Calibri" w:eastAsia="Calibri" w:hAnsi="Calibri"/>
          <w:b/>
          <w:bCs/>
          <w:color w:val="0F4C81"/>
          <w:sz w:val="26"/>
          <w:szCs w:val="26"/>
        </w:rPr>
        <w:t xml:space="preserve">4.2 Sistema semáforo presupuestario</w:t>
      </w:r>
    </w:p>
    <w:p>
      <w:pPr>
        <w:spacing w:after="120" w:before="80" w:line="320"/>
        <w:jc w:val="both"/>
      </w:pPr>
      <w:r>
        <w:rPr>
          <w:rFonts w:ascii="Calibri" w:cs="Calibri" w:eastAsia="Calibri" w:hAnsi="Calibri"/>
          <w:sz w:val="22"/>
          <w:szCs w:val="22"/>
        </w:rPr>
        <w:t xml:space="preserve">El semáforo presupuestario es una técnica de comunicación visual ampliamente utilizada en tableros de control gerenciales. Consiste en mapear un indicador (en este caso el porcentaje de ejecución) a tres estados discretos identificados por color:</w:t>
      </w:r>
    </w:p>
    <w:p>
      <w:pPr>
        <w:pStyle w:val="ListParagraph"/>
        <w:numPr>
          <w:ilvl w:val="0"/>
          <w:numId w:val="3"/>
        </w:numPr>
        <w:spacing w:after="60" w:before="40" w:line="300"/>
      </w:pPr>
      <w:r>
        <w:rPr>
          <w:rFonts w:ascii="Calibri" w:cs="Calibri" w:eastAsia="Calibri" w:hAnsi="Calibri"/>
          <w:sz w:val="22"/>
          <w:szCs w:val="22"/>
        </w:rPr>
        <w:t xml:space="preserve">Verde: ejecución menor al 61% del presupuesto. El usuario opera con holgura.</w:t>
      </w:r>
    </w:p>
    <w:p>
      <w:pPr>
        <w:pStyle w:val="ListParagraph"/>
        <w:numPr>
          <w:ilvl w:val="0"/>
          <w:numId w:val="3"/>
        </w:numPr>
        <w:spacing w:after="60" w:before="40" w:line="300"/>
      </w:pPr>
      <w:r>
        <w:rPr>
          <w:rFonts w:ascii="Calibri" w:cs="Calibri" w:eastAsia="Calibri" w:hAnsi="Calibri"/>
          <w:sz w:val="22"/>
          <w:szCs w:val="22"/>
        </w:rPr>
        <w:t xml:space="preserve">Amarillo: ejecución entre 61% y 85%. Alerta temprana; el usuario debe moderar sus gastos.</w:t>
      </w:r>
    </w:p>
    <w:p>
      <w:pPr>
        <w:pStyle w:val="ListParagraph"/>
        <w:numPr>
          <w:ilvl w:val="0"/>
          <w:numId w:val="3"/>
        </w:numPr>
        <w:spacing w:after="60" w:before="40" w:line="300"/>
      </w:pPr>
      <w:r>
        <w:rPr>
          <w:rFonts w:ascii="Calibri" w:cs="Calibri" w:eastAsia="Calibri" w:hAnsi="Calibri"/>
          <w:sz w:val="22"/>
          <w:szCs w:val="22"/>
        </w:rPr>
        <w:t xml:space="preserve">Rojo: ejecución igual o superior al 86%. Estado crítico; el usuario está al borde o ha superado el límite.</w:t>
      </w:r>
    </w:p>
    <w:p>
      <w:pPr>
        <w:pStyle w:val="Heading2"/>
        <w:spacing w:after="140" w:before="280"/>
      </w:pPr>
      <w:r>
        <w:rPr>
          <w:rFonts w:ascii="Calibri" w:cs="Calibri" w:eastAsia="Calibri" w:hAnsi="Calibri"/>
          <w:b/>
          <w:bCs/>
          <w:color w:val="0F4C81"/>
          <w:sz w:val="26"/>
          <w:szCs w:val="26"/>
        </w:rPr>
        <w:t xml:space="preserve">4.3 Ecuaciones diferenciales ordinarias y problemas de valor inicial</w:t>
      </w:r>
    </w:p>
    <w:p>
      <w:pPr>
        <w:spacing w:after="120" w:before="80" w:line="320"/>
        <w:jc w:val="both"/>
      </w:pPr>
      <w:r>
        <w:rPr>
          <w:rFonts w:ascii="Calibri" w:cs="Calibri" w:eastAsia="Calibri" w:hAnsi="Calibri"/>
          <w:sz w:val="22"/>
          <w:szCs w:val="22"/>
        </w:rPr>
        <w:t xml:space="preserve">Una ecuación diferencial ordinaria (EDO) de primer orden tiene la forma:</w:t>
      </w:r>
    </w:p>
    <w:p>
      <w:pPr>
        <w:spacing w:after="160" w:before="160"/>
        <w:jc w:val="center"/>
      </w:pPr>
      <w:r>
        <w:rPr>
          <w:rFonts w:ascii="Cambria Math" w:cs="Cambria Math" w:eastAsia="Cambria Math" w:hAnsi="Cambria Math"/>
          <w:i/>
          <w:iCs/>
          <w:color w:val="1F2937"/>
          <w:sz w:val="26"/>
          <w:szCs w:val="26"/>
        </w:rPr>
        <w:t xml:space="preserve">dy/dt = f(t, y),    con condición inicial    y(t₀) = y₀</w:t>
      </w:r>
    </w:p>
    <w:p>
      <w:pPr>
        <w:spacing w:after="120" w:before="80" w:line="320"/>
        <w:jc w:val="both"/>
      </w:pPr>
      <w:r>
        <w:rPr>
          <w:rFonts w:ascii="Calibri" w:cs="Calibri" w:eastAsia="Calibri" w:hAnsi="Calibri"/>
          <w:sz w:val="22"/>
          <w:szCs w:val="22"/>
        </w:rPr>
        <w:t xml:space="preserve">Donde t representa la variable independiente (en nuestro caso, el día del mes) e y(t) la variable dependiente (gasto acumulado). Resolver la EDO consiste en encontrar la función y(t) que satisface tanto la ecuación como la condición inicial.</w:t>
      </w:r>
    </w:p>
    <w:p>
      <w:pPr>
        <w:spacing w:after="120" w:before="80" w:line="320"/>
        <w:jc w:val="both"/>
      </w:pPr>
      <w:r>
        <w:rPr>
          <w:rFonts w:ascii="Calibri" w:cs="Calibri" w:eastAsia="Calibri" w:hAnsi="Calibri"/>
          <w:sz w:val="22"/>
          <w:szCs w:val="22"/>
        </w:rPr>
        <w:t xml:space="preserve">En la práctica, muchas EDO no admiten solución analítica cerrada o resulta más conveniente aproximar su solución mediante métodos numéricos, especialmente cuando f(t, y) es estimada a partir de datos empíricos como ocurre aquí.</w:t>
      </w:r>
    </w:p>
    <w:p>
      <w:pPr>
        <w:pStyle w:val="Heading2"/>
        <w:spacing w:after="140" w:before="280"/>
      </w:pPr>
      <w:r>
        <w:rPr>
          <w:rFonts w:ascii="Calibri" w:cs="Calibri" w:eastAsia="Calibri" w:hAnsi="Calibri"/>
          <w:b/>
          <w:bCs/>
          <w:color w:val="0F4C81"/>
          <w:sz w:val="26"/>
          <w:szCs w:val="26"/>
        </w:rPr>
        <w:t xml:space="preserve">4.4 Método de Runge-Kutta de cuarto orden (RK4)</w:t>
      </w:r>
    </w:p>
    <w:p>
      <w:pPr>
        <w:spacing w:after="120" w:before="80" w:line="320"/>
        <w:jc w:val="both"/>
      </w:pPr>
      <w:r>
        <w:rPr>
          <w:rFonts w:ascii="Calibri" w:cs="Calibri" w:eastAsia="Calibri" w:hAnsi="Calibri"/>
          <w:sz w:val="22"/>
          <w:szCs w:val="22"/>
        </w:rPr>
        <w:t xml:space="preserve">El método de Runge-Kutta de cuarto orden es uno de los métodos numéricos más utilizados para resolver problemas de valor inicial debido a su equilibrio entre precisión y costo computacional. Aproxima la solución avanzando paso a paso con un tamaño de paso h, calculando en cada iteración cuatro estimaciones (k₁, k₂, k₃, k₄) de la pendiente:</w:t>
      </w:r>
    </w:p>
    <w:p>
      <w:pPr>
        <w:spacing w:after="160" w:before="160"/>
        <w:jc w:val="center"/>
      </w:pPr>
      <w:r>
        <w:rPr>
          <w:rFonts w:ascii="Cambria Math" w:cs="Cambria Math" w:eastAsia="Cambria Math" w:hAnsi="Cambria Math"/>
          <w:i/>
          <w:iCs/>
          <w:color w:val="1F2937"/>
          <w:sz w:val="26"/>
          <w:szCs w:val="26"/>
        </w:rPr>
        <w:t xml:space="preserve">k₁ = f(tₙ, yₙ)</w:t>
      </w:r>
    </w:p>
    <w:p>
      <w:pPr>
        <w:spacing w:after="160" w:before="160"/>
        <w:jc w:val="center"/>
      </w:pPr>
      <w:r>
        <w:rPr>
          <w:rFonts w:ascii="Cambria Math" w:cs="Cambria Math" w:eastAsia="Cambria Math" w:hAnsi="Cambria Math"/>
          <w:i/>
          <w:iCs/>
          <w:color w:val="1F2937"/>
          <w:sz w:val="26"/>
          <w:szCs w:val="26"/>
        </w:rPr>
        <w:t xml:space="preserve">k₂ = f(tₙ + h/2, yₙ + h·k₁/2)</w:t>
      </w:r>
    </w:p>
    <w:p>
      <w:pPr>
        <w:spacing w:after="160" w:before="160"/>
        <w:jc w:val="center"/>
      </w:pPr>
      <w:r>
        <w:rPr>
          <w:rFonts w:ascii="Cambria Math" w:cs="Cambria Math" w:eastAsia="Cambria Math" w:hAnsi="Cambria Math"/>
          <w:i/>
          <w:iCs/>
          <w:color w:val="1F2937"/>
          <w:sz w:val="26"/>
          <w:szCs w:val="26"/>
        </w:rPr>
        <w:t xml:space="preserve">k₃ = f(tₙ + h/2, yₙ + h·k₂/2)</w:t>
      </w:r>
    </w:p>
    <w:p>
      <w:pPr>
        <w:spacing w:after="160" w:before="160"/>
        <w:jc w:val="center"/>
      </w:pPr>
      <w:r>
        <w:rPr>
          <w:rFonts w:ascii="Cambria Math" w:cs="Cambria Math" w:eastAsia="Cambria Math" w:hAnsi="Cambria Math"/>
          <w:i/>
          <w:iCs/>
          <w:color w:val="1F2937"/>
          <w:sz w:val="26"/>
          <w:szCs w:val="26"/>
        </w:rPr>
        <w:t xml:space="preserve">k₄ = f(tₙ + h, yₙ + h·k₃)</w:t>
      </w:r>
    </w:p>
    <w:p>
      <w:pPr>
        <w:spacing w:after="120" w:before="80" w:line="320"/>
        <w:jc w:val="both"/>
      </w:pPr>
      <w:r>
        <w:rPr>
          <w:rFonts w:ascii="Calibri" w:cs="Calibri" w:eastAsia="Calibri" w:hAnsi="Calibri"/>
          <w:sz w:val="22"/>
          <w:szCs w:val="22"/>
        </w:rPr>
        <w:t xml:space="preserve">El siguiente valor de la variable dependiente se obtiene como una combinación ponderada de estas estimaciones:</w:t>
      </w:r>
    </w:p>
    <w:p>
      <w:pPr>
        <w:spacing w:after="160" w:before="160"/>
        <w:jc w:val="center"/>
      </w:pPr>
      <w:r>
        <w:rPr>
          <w:rFonts w:ascii="Cambria Math" w:cs="Cambria Math" w:eastAsia="Cambria Math" w:hAnsi="Cambria Math"/>
          <w:i/>
          <w:iCs/>
          <w:color w:val="1F2937"/>
          <w:sz w:val="26"/>
          <w:szCs w:val="26"/>
        </w:rPr>
        <w:t xml:space="preserve">yₙ₊₁ = yₙ + (h/6)·(k₁ + 2·k₂ + 2·k₃ + k₄)</w:t>
      </w:r>
    </w:p>
    <w:p>
      <w:pPr>
        <w:spacing w:after="120" w:before="80" w:line="320"/>
        <w:jc w:val="both"/>
      </w:pPr>
      <w:r>
        <w:rPr>
          <w:rFonts w:ascii="Calibri" w:cs="Calibri" w:eastAsia="Calibri" w:hAnsi="Calibri"/>
          <w:sz w:val="22"/>
          <w:szCs w:val="22"/>
        </w:rPr>
        <w:t xml:space="preserve">RK4 posee un error local de orden O(h⁵) y un error global de orden O(h⁴), lo que lo convierte en una opción adecuada cuando se requiere una precisión razonable sin recurrir a métodos implícitos más complejos.</w:t>
      </w:r>
    </w:p>
    <w:p>
      <w:pPr>
        <w:pStyle w:val="Heading2"/>
        <w:spacing w:after="140" w:before="280"/>
      </w:pPr>
      <w:r>
        <w:rPr>
          <w:rFonts w:ascii="Calibri" w:cs="Calibri" w:eastAsia="Calibri" w:hAnsi="Calibri"/>
          <w:b/>
          <w:bCs/>
          <w:color w:val="0F4C81"/>
          <w:sz w:val="26"/>
          <w:szCs w:val="26"/>
        </w:rPr>
        <w:t xml:space="preserve">4.5 Modelado de la tasa de gasto</w:t>
      </w:r>
    </w:p>
    <w:p>
      <w:pPr>
        <w:spacing w:after="120" w:before="80" w:line="320"/>
        <w:jc w:val="both"/>
      </w:pPr>
      <w:r>
        <w:rPr>
          <w:rFonts w:ascii="Calibri" w:cs="Calibri" w:eastAsia="Calibri" w:hAnsi="Calibri"/>
          <w:sz w:val="22"/>
          <w:szCs w:val="22"/>
        </w:rPr>
        <w:t xml:space="preserve">Para aplicar RK4 al problema del presupuesto se modeló la tasa de gasto diaria r(t) como una función lineal del tiempo:</w:t>
      </w:r>
    </w:p>
    <w:p>
      <w:pPr>
        <w:spacing w:after="160" w:before="160"/>
        <w:jc w:val="center"/>
      </w:pPr>
      <w:r>
        <w:rPr>
          <w:rFonts w:ascii="Cambria Math" w:cs="Cambria Math" w:eastAsia="Cambria Math" w:hAnsi="Cambria Math"/>
          <w:i/>
          <w:iCs/>
          <w:color w:val="1F2937"/>
          <w:sz w:val="26"/>
          <w:szCs w:val="26"/>
        </w:rPr>
        <w:t xml:space="preserve">dG/dt = r(t) = r₀ + m · (t − t_hoy)</w:t>
      </w:r>
    </w:p>
    <w:p>
      <w:pPr>
        <w:spacing w:after="120" w:before="80" w:line="320"/>
        <w:jc w:val="both"/>
      </w:pPr>
      <w:r>
        <w:rPr>
          <w:rFonts w:ascii="Calibri" w:cs="Calibri" w:eastAsia="Calibri" w:hAnsi="Calibri"/>
          <w:sz w:val="22"/>
          <w:szCs w:val="22"/>
        </w:rPr>
        <w:t xml:space="preserve">Donde G(t) representa el gasto acumulado, r₀ es la tasa promedio observada durante los últimos siete días (o los días disponibles del mes si han transcurrido menos) y m es la pendiente estimada por regresión lineal simple sobre las tasas diarias observadas. La pendiente se atenúa al cincuenta por ciento (m·0.5) para evitar sobreestimaciones cuando la muestra es pequeña.</w:t>
      </w:r>
    </w:p>
    <w:p>
      <w:pPr>
        <w:spacing w:after="120" w:before="80" w:line="320"/>
        <w:jc w:val="both"/>
      </w:pPr>
      <w:r>
        <w:rPr>
          <w:rFonts w:ascii="Calibri" w:cs="Calibri" w:eastAsia="Calibri" w:hAnsi="Calibri"/>
          <w:sz w:val="22"/>
          <w:szCs w:val="22"/>
        </w:rPr>
        <w:t xml:space="preserve">Como salvaguarda, la tasa proyectada se restringe a valores no negativos: una persona no puede des-gastar. Si el cálculo arrojara r(t) negativa, se sustituye por cero.</w:t>
      </w:r>
    </w:p>
    <w:p>
      <w:pPr>
        <w:pStyle w:val="Heading1"/>
        <w:spacing w:after="200" w:before="360"/>
      </w:pPr>
      <w:r>
        <w:rPr>
          <w:rFonts w:ascii="Calibri" w:cs="Calibri" w:eastAsia="Calibri" w:hAnsi="Calibri"/>
          <w:b/>
          <w:bCs/>
          <w:color w:val="0F4C81"/>
          <w:sz w:val="32"/>
          <w:szCs w:val="32"/>
        </w:rPr>
        <w:t xml:space="preserve">5. Metodología</w:t>
      </w:r>
    </w:p>
    <w:p>
      <w:pPr>
        <w:pStyle w:val="Heading2"/>
        <w:spacing w:after="140" w:before="280"/>
      </w:pPr>
      <w:r>
        <w:rPr>
          <w:rFonts w:ascii="Calibri" w:cs="Calibri" w:eastAsia="Calibri" w:hAnsi="Calibri"/>
          <w:b/>
          <w:bCs/>
          <w:color w:val="0F4C81"/>
          <w:sz w:val="26"/>
          <w:szCs w:val="26"/>
        </w:rPr>
        <w:t xml:space="preserve">5.1 Enfoque general</w:t>
      </w:r>
    </w:p>
    <w:p>
      <w:pPr>
        <w:spacing w:after="120" w:before="80" w:line="320"/>
        <w:jc w:val="both"/>
      </w:pPr>
      <w:r>
        <w:rPr>
          <w:rFonts w:ascii="Calibri" w:cs="Calibri" w:eastAsia="Calibri" w:hAnsi="Calibri"/>
          <w:sz w:val="22"/>
          <w:szCs w:val="22"/>
        </w:rPr>
        <w:t xml:space="preserve">El proyecto se desarrolló bajo un enfoque iterativo. Se partió de un repositorio base previamente publicado, se identificaron debilidades funcionales y se planificó un plan de mejoras dividido en cuatro fases: funcionalidad básica faltante, visualización y análisis, experiencia de usuario y calidad, y profesionalización. Para los fines de este informe, se documenta el alcance de las dos primeras fases que culminan con la integración del módulo predictivo.</w:t>
      </w:r>
    </w:p>
    <w:p>
      <w:pPr>
        <w:pStyle w:val="Heading2"/>
        <w:spacing w:after="140" w:before="280"/>
      </w:pPr>
      <w:r>
        <w:rPr>
          <w:rFonts w:ascii="Calibri" w:cs="Calibri" w:eastAsia="Calibri" w:hAnsi="Calibri"/>
          <w:b/>
          <w:bCs/>
          <w:color w:val="0F4C81"/>
          <w:sz w:val="26"/>
          <w:szCs w:val="26"/>
        </w:rPr>
        <w:t xml:space="preserve">5.2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Componente</w:t>
            </w:r>
          </w:p>
        </w:tc>
        <w:tc>
          <w:tcPr>
            <w:tcW w:type="dxa" w:w="624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Tecnología</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Lenguaje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JavaScript (ECMAScript 2024) con sintaxis JSX</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Librería UI</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React 19</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Empaquetador</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Vite 8</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Estilos</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Tailwind CSS 3 (utility-first)</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Iconografía</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lucide-react</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Visualización</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recharts 3 (gráficos SVG declarativos)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Persistencia</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Web Storage API (localStorage)</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Calidad de código</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ESLint 10 con reglas de React Hooks y React Refresh</w:t>
            </w:r>
          </w:p>
        </w:tc>
      </w:tr>
    </w:tbl>
    <w:p>
      <w:pPr>
        <w:pStyle w:val="Heading2"/>
        <w:spacing w:after="140" w:before="280"/>
      </w:pPr>
      <w:r>
        <w:rPr>
          <w:rFonts w:ascii="Calibri" w:cs="Calibri" w:eastAsia="Calibri" w:hAnsi="Calibri"/>
          <w:b/>
          <w:bCs/>
          <w:color w:val="0F4C81"/>
          <w:sz w:val="26"/>
          <w:szCs w:val="26"/>
        </w:rPr>
        <w:t xml:space="preserve">5.3 Arquitectura por componentes</w:t>
      </w:r>
    </w:p>
    <w:p>
      <w:pPr>
        <w:spacing w:after="120" w:before="80" w:line="320"/>
        <w:jc w:val="both"/>
      </w:pPr>
      <w:r>
        <w:rPr>
          <w:rFonts w:ascii="Calibri" w:cs="Calibri" w:eastAsia="Calibri" w:hAnsi="Calibri"/>
          <w:sz w:val="22"/>
          <w:szCs w:val="22"/>
        </w:rPr>
        <w:t xml:space="preserve">La aplicación adopta una arquitectura por componentes funcionales de React. El estado de la aplicación se concentra en el componente raíz App, que distribuye los datos y los handlers a los componentes hijos mediante props. Para mantener la coherencia entre la vista del semáforo, el efecto luminoso del borde y la tarjeta de predicción, la lógica del semáforo se extrajo a un módulo utilitario único.</w:t>
      </w:r>
    </w:p>
    <w:p>
      <w:pPr>
        <w:pStyle w:val="Heading3"/>
        <w:spacing w:after="100" w:before="200"/>
      </w:pPr>
      <w:r>
        <w:rPr>
          <w:rFonts w:ascii="Calibri" w:cs="Calibri" w:eastAsia="Calibri" w:hAnsi="Calibri"/>
          <w:b/>
          <w:bCs/>
          <w:color w:val="1F2937"/>
          <w:sz w:val="23"/>
          <w:szCs w:val="23"/>
        </w:rPr>
        <w:t xml:space="preserve">Componentes principales</w:t>
      </w:r>
    </w:p>
    <w:p>
      <w:pPr>
        <w:pStyle w:val="ListParagraph"/>
        <w:numPr>
          <w:ilvl w:val="0"/>
          <w:numId w:val="3"/>
        </w:numPr>
        <w:spacing w:after="60" w:before="40" w:line="300"/>
      </w:pPr>
      <w:r>
        <w:rPr>
          <w:rFonts w:ascii="Calibri" w:cs="Calibri" w:eastAsia="Calibri" w:hAnsi="Calibri"/>
          <w:sz w:val="22"/>
          <w:szCs w:val="22"/>
        </w:rPr>
        <w:t xml:space="preserve">Dashboard: muestra el porcentaje de ejecución, el estado del semáforo y las tarjetas de presupuesto, gasto y saldo.</w:t>
      </w:r>
    </w:p>
    <w:p>
      <w:pPr>
        <w:pStyle w:val="ListParagraph"/>
        <w:numPr>
          <w:ilvl w:val="0"/>
          <w:numId w:val="3"/>
        </w:numPr>
        <w:spacing w:after="60" w:before="40" w:line="300"/>
      </w:pPr>
      <w:r>
        <w:rPr>
          <w:rFonts w:ascii="Calibri" w:cs="Calibri" w:eastAsia="Calibri" w:hAnsi="Calibri"/>
          <w:sz w:val="22"/>
          <w:szCs w:val="22"/>
        </w:rPr>
        <w:t xml:space="preserve">FormularioGasto: registro de nuevos movimientos con validaciones del lado del cliente.</w:t>
      </w:r>
    </w:p>
    <w:p>
      <w:pPr>
        <w:pStyle w:val="ListParagraph"/>
        <w:numPr>
          <w:ilvl w:val="0"/>
          <w:numId w:val="3"/>
        </w:numPr>
        <w:spacing w:after="60" w:before="40" w:line="300"/>
      </w:pPr>
      <w:r>
        <w:rPr>
          <w:rFonts w:ascii="Calibri" w:cs="Calibri" w:eastAsia="Calibri" w:hAnsi="Calibri"/>
          <w:sz w:val="22"/>
          <w:szCs w:val="22"/>
        </w:rPr>
        <w:t xml:space="preserve">HistorialGastos: tabla ordenada por fecha con acciones de edición y eliminación por registro.</w:t>
      </w:r>
    </w:p>
    <w:p>
      <w:pPr>
        <w:pStyle w:val="ListParagraph"/>
        <w:numPr>
          <w:ilvl w:val="0"/>
          <w:numId w:val="3"/>
        </w:numPr>
        <w:spacing w:after="60" w:before="40" w:line="300"/>
      </w:pPr>
      <w:r>
        <w:rPr>
          <w:rFonts w:ascii="Calibri" w:cs="Calibri" w:eastAsia="Calibri" w:hAnsi="Calibri"/>
          <w:sz w:val="22"/>
          <w:szCs w:val="22"/>
        </w:rPr>
        <w:t xml:space="preserve">EditarGastoModal: ventana modal accesible para modificar un movimiento existente.</w:t>
      </w:r>
    </w:p>
    <w:p>
      <w:pPr>
        <w:pStyle w:val="ListParagraph"/>
        <w:numPr>
          <w:ilvl w:val="0"/>
          <w:numId w:val="3"/>
        </w:numPr>
        <w:spacing w:after="60" w:before="40" w:line="300"/>
      </w:pPr>
      <w:r>
        <w:rPr>
          <w:rFonts w:ascii="Calibri" w:cs="Calibri" w:eastAsia="Calibri" w:hAnsi="Calibri"/>
          <w:sz w:val="22"/>
          <w:szCs w:val="22"/>
        </w:rPr>
        <w:t xml:space="preserve">PrediccionRK: tarjeta con cuatro indicadores resumen y un gráfico comparativo real frente a proyección.</w:t>
      </w:r>
    </w:p>
    <w:p>
      <w:pPr>
        <w:pStyle w:val="ListParagraph"/>
        <w:numPr>
          <w:ilvl w:val="0"/>
          <w:numId w:val="3"/>
        </w:numPr>
        <w:spacing w:after="60" w:before="40" w:line="300"/>
      </w:pPr>
      <w:r>
        <w:rPr>
          <w:rFonts w:ascii="Calibri" w:cs="Calibri" w:eastAsia="Calibri" w:hAnsi="Calibri"/>
          <w:sz w:val="22"/>
          <w:szCs w:val="22"/>
        </w:rPr>
        <w:t xml:space="preserve">GlowOverlay: capa de iluminación de los bordes de la pantalla con transición suave entre estados.</w:t>
      </w:r>
    </w:p>
    <w:p>
      <w:pPr>
        <w:pStyle w:val="Heading3"/>
        <w:spacing w:after="100" w:before="200"/>
      </w:pPr>
      <w:r>
        <w:rPr>
          <w:rFonts w:ascii="Calibri" w:cs="Calibri" w:eastAsia="Calibri" w:hAnsi="Calibri"/>
          <w:b/>
          <w:bCs/>
          <w:color w:val="1F2937"/>
          <w:sz w:val="23"/>
          <w:szCs w:val="23"/>
        </w:rPr>
        <w:t xml:space="preserve">Módulos utilitarios</w:t>
      </w:r>
    </w:p>
    <w:p>
      <w:pPr>
        <w:pStyle w:val="ListParagraph"/>
        <w:numPr>
          <w:ilvl w:val="0"/>
          <w:numId w:val="3"/>
        </w:numPr>
        <w:spacing w:after="60" w:before="40" w:line="300"/>
      </w:pPr>
      <w:r>
        <w:rPr>
          <w:rFonts w:ascii="Calibri" w:cs="Calibri" w:eastAsia="Calibri" w:hAnsi="Calibri"/>
          <w:sz w:val="22"/>
          <w:szCs w:val="22"/>
        </w:rPr>
        <w:t xml:space="preserve">useLocalStorage: hook personalizado para persistir cualquier estado en el almacenamiento del navegador, con tolerancia a JSON corrupto.</w:t>
      </w:r>
    </w:p>
    <w:p>
      <w:pPr>
        <w:pStyle w:val="ListParagraph"/>
        <w:numPr>
          <w:ilvl w:val="0"/>
          <w:numId w:val="3"/>
        </w:numPr>
        <w:spacing w:after="60" w:before="40" w:line="300"/>
      </w:pPr>
      <w:r>
        <w:rPr>
          <w:rFonts w:ascii="Calibri" w:cs="Calibri" w:eastAsia="Calibri" w:hAnsi="Calibri"/>
          <w:sz w:val="22"/>
          <w:szCs w:val="22"/>
        </w:rPr>
        <w:t xml:space="preserve">semaforo.js: única fuente de verdad para clasificar un porcentaje en uno de los tres estados del semáforo.</w:t>
      </w:r>
    </w:p>
    <w:p>
      <w:pPr>
        <w:pStyle w:val="ListParagraph"/>
        <w:numPr>
          <w:ilvl w:val="0"/>
          <w:numId w:val="3"/>
        </w:numPr>
        <w:spacing w:after="60" w:before="40" w:line="300"/>
      </w:pPr>
      <w:r>
        <w:rPr>
          <w:rFonts w:ascii="Calibri" w:cs="Calibri" w:eastAsia="Calibri" w:hAnsi="Calibri"/>
          <w:sz w:val="22"/>
          <w:szCs w:val="22"/>
        </w:rPr>
        <w:t xml:space="preserve">rungeKutta.js: implementación genérica de RK4 más la función predecirPresupuestoRK4 específica del dominio.</w:t>
      </w:r>
    </w:p>
    <w:p>
      <w:pPr>
        <w:pStyle w:val="ListParagraph"/>
        <w:numPr>
          <w:ilvl w:val="0"/>
          <w:numId w:val="3"/>
        </w:numPr>
        <w:spacing w:after="60" w:before="40" w:line="300"/>
      </w:pPr>
      <w:r>
        <w:rPr>
          <w:rFonts w:ascii="Calibri" w:cs="Calibri" w:eastAsia="Calibri" w:hAnsi="Calibri"/>
          <w:sz w:val="22"/>
          <w:szCs w:val="22"/>
        </w:rPr>
        <w:t xml:space="preserve">format.js: formateadores de moneda boliviana y fechas en español.</w:t>
      </w:r>
    </w:p>
    <w:p>
      <w:pPr>
        <w:pStyle w:val="Heading1"/>
        <w:spacing w:after="200" w:before="360"/>
      </w:pPr>
      <w:r>
        <w:rPr>
          <w:rFonts w:ascii="Calibri" w:cs="Calibri" w:eastAsia="Calibri" w:hAnsi="Calibri"/>
          <w:b/>
          <w:bCs/>
          <w:color w:val="0F4C81"/>
          <w:sz w:val="32"/>
          <w:szCs w:val="32"/>
        </w:rPr>
        <w:t xml:space="preserve">6. Desarrollo e implementación</w:t>
      </w:r>
    </w:p>
    <w:p>
      <w:pPr>
        <w:pStyle w:val="Heading2"/>
        <w:spacing w:after="140" w:before="280"/>
      </w:pPr>
      <w:r>
        <w:rPr>
          <w:rFonts w:ascii="Calibri" w:cs="Calibri" w:eastAsia="Calibri" w:hAnsi="Calibri"/>
          <w:b/>
          <w:bCs/>
          <w:color w:val="0F4C81"/>
          <w:sz w:val="26"/>
          <w:szCs w:val="26"/>
        </w:rPr>
        <w:t xml:space="preserve">6.1 Algoritmo RK4 implementado</w:t>
      </w:r>
    </w:p>
    <w:p>
      <w:pPr>
        <w:spacing w:after="120" w:before="80" w:line="320"/>
        <w:jc w:val="both"/>
      </w:pPr>
      <w:r>
        <w:rPr>
          <w:rFonts w:ascii="Calibri" w:cs="Calibri" w:eastAsia="Calibri" w:hAnsi="Calibri"/>
          <w:sz w:val="22"/>
          <w:szCs w:val="22"/>
        </w:rPr>
        <w:t xml:space="preserve">El módulo de integración numérica se implementó de forma genérica para permitir su reutilización futura en otros problemas. El paso elemental responde estrictamente al esquema clásico de Runge-Kutta de cuarto orden:</w:t>
      </w:r>
    </w:p>
    <w:p>
      <w:pPr>
        <w:shd w:fill="F8FAFC" w:val="clear"/>
        <w:spacing w:after="60" w:before="60" w:line="280"/>
      </w:pPr>
      <w:r>
        <w:rPr>
          <w:rFonts w:ascii="Consolas" w:cs="Consolas" w:eastAsia="Consolas" w:hAnsi="Consolas"/>
          <w:color w:val="1F2937"/>
          <w:sz w:val="19"/>
          <w:szCs w:val="19"/>
        </w:rPr>
        <w:t xml:space="preserve">function rk4Step(f, t, y, h) {</w:t>
      </w:r>
    </w:p>
    <w:p>
      <w:pPr>
        <w:shd w:fill="F8FAFC" w:val="clear"/>
        <w:spacing w:after="60" w:before="60" w:line="280"/>
      </w:pPr>
      <w:r>
        <w:rPr>
          <w:rFonts w:ascii="Consolas" w:cs="Consolas" w:eastAsia="Consolas" w:hAnsi="Consolas"/>
          <w:color w:val="1F2937"/>
          <w:sz w:val="19"/>
          <w:szCs w:val="19"/>
        </w:rPr>
        <w:t xml:space="preserve">  const k1 = f(t, y);</w:t>
      </w:r>
    </w:p>
    <w:p>
      <w:pPr>
        <w:shd w:fill="F8FAFC" w:val="clear"/>
        <w:spacing w:after="60" w:before="60" w:line="280"/>
      </w:pPr>
      <w:r>
        <w:rPr>
          <w:rFonts w:ascii="Consolas" w:cs="Consolas" w:eastAsia="Consolas" w:hAnsi="Consolas"/>
          <w:color w:val="1F2937"/>
          <w:sz w:val="19"/>
          <w:szCs w:val="19"/>
        </w:rPr>
        <w:t xml:space="preserve">  const k2 = f(t + h/2, y + (h * k1) / 2);</w:t>
      </w:r>
    </w:p>
    <w:p>
      <w:pPr>
        <w:shd w:fill="F8FAFC" w:val="clear"/>
        <w:spacing w:after="60" w:before="60" w:line="280"/>
      </w:pPr>
      <w:r>
        <w:rPr>
          <w:rFonts w:ascii="Consolas" w:cs="Consolas" w:eastAsia="Consolas" w:hAnsi="Consolas"/>
          <w:color w:val="1F2937"/>
          <w:sz w:val="19"/>
          <w:szCs w:val="19"/>
        </w:rPr>
        <w:t xml:space="preserve">  const k3 = f(t + h/2, y + (h * k2) / 2);</w:t>
      </w:r>
    </w:p>
    <w:p>
      <w:pPr>
        <w:shd w:fill="F8FAFC" w:val="clear"/>
        <w:spacing w:after="60" w:before="60" w:line="280"/>
      </w:pPr>
      <w:r>
        <w:rPr>
          <w:rFonts w:ascii="Consolas" w:cs="Consolas" w:eastAsia="Consolas" w:hAnsi="Consolas"/>
          <w:color w:val="1F2937"/>
          <w:sz w:val="19"/>
          <w:szCs w:val="19"/>
        </w:rPr>
        <w:t xml:space="preserve">  const k4 = f(t + h, y + h * k3);</w:t>
      </w:r>
    </w:p>
    <w:p>
      <w:pPr>
        <w:shd w:fill="F8FAFC" w:val="clear"/>
        <w:spacing w:after="60" w:before="60" w:line="280"/>
      </w:pPr>
      <w:r>
        <w:rPr>
          <w:rFonts w:ascii="Consolas" w:cs="Consolas" w:eastAsia="Consolas" w:hAnsi="Consolas"/>
          <w:color w:val="1F2937"/>
          <w:sz w:val="19"/>
          <w:szCs w:val="19"/>
        </w:rPr>
        <w:t xml:space="preserve">  return y + (h * (k1 + 2*k2 + 2*k3 + k4)) / 6;</w:t>
      </w:r>
    </w:p>
    <w:p>
      <w:pPr>
        <w:shd w:fill="F8FAFC" w:val="clear"/>
        <w:spacing w:after="60" w:before="60" w:line="280"/>
      </w:pPr>
      <w:r>
        <w:rPr>
          <w:rFonts w:ascii="Consolas" w:cs="Consolas" w:eastAsia="Consolas" w:hAnsi="Consolas"/>
          <w:color w:val="1F2937"/>
          <w:sz w:val="19"/>
          <w:szCs w:val="19"/>
        </w:rPr>
        <w:t xml:space="preserve">}</w:t>
      </w:r>
    </w:p>
    <w:p>
      <w:pPr>
        <w:spacing w:after="120" w:before="80" w:line="320"/>
        <w:jc w:val="both"/>
      </w:pPr>
      <w:r>
        <w:rPr>
          <w:rFonts w:ascii="Calibri" w:cs="Calibri" w:eastAsia="Calibri" w:hAnsi="Calibri"/>
          <w:sz w:val="22"/>
          <w:szCs w:val="22"/>
        </w:rPr>
        <w:t xml:space="preserve">Sobre esta función se construye un integrador iterativo rk4Integrate(f, t₀, y₀, t_f, h) que recorre el intervalo de integración con paso constante h = 0.25 días, generando un arreglo de puntos (t, y) que posteriormente alimenta al gráfico.</w:t>
      </w:r>
    </w:p>
    <w:p>
      <w:pPr>
        <w:pStyle w:val="Heading2"/>
        <w:spacing w:after="140" w:before="280"/>
      </w:pPr>
      <w:r>
        <w:rPr>
          <w:rFonts w:ascii="Calibri" w:cs="Calibri" w:eastAsia="Calibri" w:hAnsi="Calibri"/>
          <w:b/>
          <w:bCs/>
          <w:color w:val="0F4C81"/>
          <w:sz w:val="26"/>
          <w:szCs w:val="26"/>
        </w:rPr>
        <w:t xml:space="preserve">6.2 Estimación de los parámetros del modelo</w:t>
      </w:r>
    </w:p>
    <w:p>
      <w:pPr>
        <w:spacing w:after="120" w:before="80" w:line="320"/>
        <w:jc w:val="both"/>
      </w:pPr>
      <w:r>
        <w:rPr>
          <w:rFonts w:ascii="Calibri" w:cs="Calibri" w:eastAsia="Calibri" w:hAnsi="Calibri"/>
          <w:sz w:val="22"/>
          <w:szCs w:val="22"/>
        </w:rPr>
        <w:t xml:space="preserve">Para construir la función f(t, y) que recibe RK4 se realiza una pre-estimación a partir del historial:</w:t>
      </w:r>
    </w:p>
    <w:p>
      <w:pPr>
        <w:pStyle w:val="ListParagraph"/>
        <w:numPr>
          <w:ilvl w:val="0"/>
          <w:numId w:val="2"/>
        </w:numPr>
        <w:spacing w:after="60" w:before="40" w:line="300"/>
      </w:pPr>
      <w:r>
        <w:rPr>
          <w:rFonts w:ascii="Calibri" w:cs="Calibri" w:eastAsia="Calibri" w:hAnsi="Calibri"/>
          <w:sz w:val="22"/>
          <w:szCs w:val="22"/>
        </w:rPr>
        <w:t xml:space="preserve">Se filtran los movimientos del mes en curso y se agrupan por día.</w:t>
      </w:r>
    </w:p>
    <w:p>
      <w:pPr>
        <w:pStyle w:val="ListParagraph"/>
        <w:numPr>
          <w:ilvl w:val="0"/>
          <w:numId w:val="2"/>
        </w:numPr>
        <w:spacing w:after="60" w:before="40" w:line="300"/>
      </w:pPr>
      <w:r>
        <w:rPr>
          <w:rFonts w:ascii="Calibri" w:cs="Calibri" w:eastAsia="Calibri" w:hAnsi="Calibri"/>
          <w:sz w:val="22"/>
          <w:szCs w:val="22"/>
        </w:rPr>
        <w:t xml:space="preserve">Se construye la serie acumulada G(d) para los días transcurridos.</w:t>
      </w:r>
    </w:p>
    <w:p>
      <w:pPr>
        <w:pStyle w:val="ListParagraph"/>
        <w:numPr>
          <w:ilvl w:val="0"/>
          <w:numId w:val="2"/>
        </w:numPr>
        <w:spacing w:after="60" w:before="40" w:line="300"/>
      </w:pPr>
      <w:r>
        <w:rPr>
          <w:rFonts w:ascii="Calibri" w:cs="Calibri" w:eastAsia="Calibri" w:hAnsi="Calibri"/>
          <w:sz w:val="22"/>
          <w:szCs w:val="22"/>
        </w:rPr>
        <w:t xml:space="preserve">Se calcula la tasa diaria observada como el gasto del día d.</w:t>
      </w:r>
    </w:p>
    <w:p>
      <w:pPr>
        <w:pStyle w:val="ListParagraph"/>
        <w:numPr>
          <w:ilvl w:val="0"/>
          <w:numId w:val="2"/>
        </w:numPr>
        <w:spacing w:after="60" w:before="40" w:line="300"/>
      </w:pPr>
      <w:r>
        <w:rPr>
          <w:rFonts w:ascii="Calibri" w:cs="Calibri" w:eastAsia="Calibri" w:hAnsi="Calibri"/>
          <w:sz w:val="22"/>
          <w:szCs w:val="22"/>
        </w:rPr>
        <w:t xml:space="preserve">Se promedia la tasa sobre la ventana de los últimos siete días para obtener r₀.</w:t>
      </w:r>
    </w:p>
    <w:p>
      <w:pPr>
        <w:pStyle w:val="ListParagraph"/>
        <w:numPr>
          <w:ilvl w:val="0"/>
          <w:numId w:val="2"/>
        </w:numPr>
        <w:spacing w:after="60" w:before="40" w:line="300"/>
      </w:pPr>
      <w:r>
        <w:rPr>
          <w:rFonts w:ascii="Calibri" w:cs="Calibri" w:eastAsia="Calibri" w:hAnsi="Calibri"/>
          <w:sz w:val="22"/>
          <w:szCs w:val="22"/>
        </w:rPr>
        <w:t xml:space="preserve">Se aplica una regresión lineal simple sobre la serie de tasas diarias para estimar la pendiente m.</w:t>
      </w:r>
    </w:p>
    <w:p>
      <w:pPr>
        <w:pStyle w:val="ListParagraph"/>
        <w:numPr>
          <w:ilvl w:val="0"/>
          <w:numId w:val="2"/>
        </w:numPr>
        <w:spacing w:after="60" w:before="40" w:line="300"/>
      </w:pPr>
      <w:r>
        <w:rPr>
          <w:rFonts w:ascii="Calibri" w:cs="Calibri" w:eastAsia="Calibri" w:hAnsi="Calibri"/>
          <w:sz w:val="22"/>
          <w:szCs w:val="22"/>
        </w:rPr>
        <w:t xml:space="preserve">Se define f(t, y) = max(0, r₀ + 0.5·m·(t − t_hoy)) y se integra de t_hoy hasta el último día del mes.</w:t>
      </w:r>
    </w:p>
    <w:p>
      <w:pPr>
        <w:spacing w:after="120" w:before="80" w:line="320"/>
        <w:jc w:val="both"/>
      </w:pPr>
      <w:r>
        <w:rPr>
          <w:rFonts w:ascii="Calibri" w:cs="Calibri" w:eastAsia="Calibri" w:hAnsi="Calibri"/>
          <w:sz w:val="22"/>
          <w:szCs w:val="22"/>
        </w:rPr>
        <w:t xml:space="preserve">La aplicación recorre también la serie integrada en busca del primer punto donde G(t) ≥ Presupuesto, lo que permite reportar al usuario un día estimado de agotamiento del presupuesto.</w:t>
      </w:r>
    </w:p>
    <w:p>
      <w:pPr>
        <w:pStyle w:val="Heading2"/>
        <w:spacing w:after="140" w:before="280"/>
      </w:pPr>
      <w:r>
        <w:rPr>
          <w:rFonts w:ascii="Calibri" w:cs="Calibri" w:eastAsia="Calibri" w:hAnsi="Calibri"/>
          <w:b/>
          <w:bCs/>
          <w:color w:val="0F4C81"/>
          <w:sz w:val="26"/>
          <w:szCs w:val="26"/>
        </w:rPr>
        <w:t xml:space="preserve">6.3 Interfaz visual: el efecto luminoso del borde</w:t>
      </w:r>
    </w:p>
    <w:p>
      <w:pPr>
        <w:spacing w:after="120" w:before="80" w:line="320"/>
        <w:jc w:val="both"/>
      </w:pPr>
      <w:r>
        <w:rPr>
          <w:rFonts w:ascii="Calibri" w:cs="Calibri" w:eastAsia="Calibri" w:hAnsi="Calibri"/>
          <w:sz w:val="22"/>
          <w:szCs w:val="22"/>
        </w:rPr>
        <w:t xml:space="preserve">Para reforzar el mensaje del semáforo se diseñó un overlay de pantalla completa que ilumina los bordes con el color del estado actual. Técnicamente se implementa como un elemento HTML fijo con doble box-shadow inset y propiedad pointer-events:none que evita interferir con los clics del usuario. El cambio de color se animó con una transición de 1.000 milisegundos para que la transición se perciba orgánica. En estado rojo se añade una animación de pulso definida en el archivo de configuración de Tailwind.</w:t>
      </w:r>
    </w:p>
    <w:p>
      <w:pPr>
        <w:pStyle w:val="Heading2"/>
        <w:spacing w:after="140" w:before="280"/>
      </w:pPr>
      <w:r>
        <w:rPr>
          <w:rFonts w:ascii="Calibri" w:cs="Calibri" w:eastAsia="Calibri" w:hAnsi="Calibri"/>
          <w:b/>
          <w:bCs/>
          <w:color w:val="0F4C81"/>
          <w:sz w:val="26"/>
          <w:szCs w:val="26"/>
        </w:rPr>
        <w:t xml:space="preserve">6.4 Validaciones y persistencia</w:t>
      </w:r>
    </w:p>
    <w:p>
      <w:pPr>
        <w:spacing w:after="120" w:before="80" w:line="320"/>
        <w:jc w:val="both"/>
      </w:pPr>
      <w:r>
        <w:rPr>
          <w:rFonts w:ascii="Calibri" w:cs="Calibri" w:eastAsia="Calibri" w:hAnsi="Calibri"/>
          <w:sz w:val="22"/>
          <w:szCs w:val="22"/>
        </w:rPr>
        <w:t xml:space="preserve">El formulario incorpora validaciones estrictas: descripción obligatoria con un máximo de ochenta caracteres, monto numérico estrictamente positivo y menor a un millón, fecha no futura y categoría válida. Las mismas reglas se aplican en el modal de edición para garantizar la consistencia del estado guardado.</w:t>
      </w:r>
    </w:p>
    <w:p>
      <w:pPr>
        <w:spacing w:after="120" w:before="80" w:line="320"/>
        <w:jc w:val="both"/>
      </w:pPr>
      <w:r>
        <w:rPr>
          <w:rFonts w:ascii="Calibri" w:cs="Calibri" w:eastAsia="Calibri" w:hAnsi="Calibri"/>
          <w:sz w:val="22"/>
          <w:szCs w:val="22"/>
        </w:rPr>
        <w:t xml:space="preserve">La persistencia se gestiona mediante el hook useLocalStorage, que sincroniza automáticamente cada cambio del estado con el almacenamiento del navegador bajo una única clave versionada. Si el contenido se corrompe (por ejemplo, manipulación externa) el hook detecta el JSON inválido, limpia la clave y vuelve al estado inicial sin propagar el error a la UI.</w:t>
      </w:r>
    </w:p>
    <w:p>
      <w:pPr>
        <w:pStyle w:val="Heading1"/>
        <w:spacing w:after="200" w:before="360"/>
      </w:pPr>
      <w:r>
        <w:rPr>
          <w:rFonts w:ascii="Calibri" w:cs="Calibri" w:eastAsia="Calibri" w:hAnsi="Calibri"/>
          <w:b/>
          <w:bCs/>
          <w:color w:val="0F4C81"/>
          <w:sz w:val="32"/>
          <w:szCs w:val="32"/>
        </w:rPr>
        <w:t xml:space="preserve">7. Resultados</w:t>
      </w:r>
    </w:p>
    <w:p>
      <w:pPr>
        <w:pStyle w:val="Heading2"/>
        <w:spacing w:after="140" w:before="280"/>
      </w:pPr>
      <w:r>
        <w:rPr>
          <w:rFonts w:ascii="Calibri" w:cs="Calibri" w:eastAsia="Calibri" w:hAnsi="Calibri"/>
          <w:b/>
          <w:bCs/>
          <w:color w:val="0F4C81"/>
          <w:sz w:val="26"/>
          <w:szCs w:val="26"/>
        </w:rPr>
        <w:t xml:space="preserve">7.1 Verificación funcional</w:t>
      </w:r>
    </w:p>
    <w:p>
      <w:pPr>
        <w:spacing w:after="120" w:before="80" w:line="320"/>
        <w:jc w:val="both"/>
      </w:pPr>
      <w:r>
        <w:rPr>
          <w:rFonts w:ascii="Calibri" w:cs="Calibri" w:eastAsia="Calibri" w:hAnsi="Calibri"/>
          <w:sz w:val="22"/>
          <w:szCs w:val="22"/>
        </w:rPr>
        <w:t xml:space="preserve">Se realizó la compilación del proyecto con el comando vite build, obteniendo un paquete de producción de aproximadamente 571 kilobytes (171 kilobytes tras compresión gzip) sin errores. Adicionalmente, el lint con ESLint pasó sin advertencias bajo la configuración predeterminada del proyecto.</w:t>
      </w:r>
    </w:p>
    <w:p>
      <w:pPr>
        <w:pStyle w:val="Heading2"/>
        <w:spacing w:after="140" w:before="280"/>
      </w:pPr>
      <w:r>
        <w:rPr>
          <w:rFonts w:ascii="Calibri" w:cs="Calibri" w:eastAsia="Calibri" w:hAnsi="Calibri"/>
          <w:b/>
          <w:bCs/>
          <w:color w:val="0F4C81"/>
          <w:sz w:val="26"/>
          <w:szCs w:val="26"/>
        </w:rPr>
        <w:t xml:space="preserve">7.2 Verificación numérica</w:t>
      </w:r>
    </w:p>
    <w:p>
      <w:pPr>
        <w:spacing w:after="120" w:before="80" w:line="320"/>
        <w:jc w:val="both"/>
      </w:pPr>
      <w:r>
        <w:rPr>
          <w:rFonts w:ascii="Calibri" w:cs="Calibri" w:eastAsia="Calibri" w:hAnsi="Calibri"/>
          <w:sz w:val="22"/>
          <w:szCs w:val="22"/>
        </w:rPr>
        <w:t xml:space="preserve">Se ejecutó la función de predicción sobre el conjunto de datos de ejemplo correspondiente al mes de junio de 2026 con un presupuesto de 3.500 Bs. y seis movimientos previos. Los resultados se muestran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Indicador</w:t>
            </w:r>
          </w:p>
        </w:tc>
        <w:tc>
          <w:tcPr>
            <w:tcW w:type="dxa" w:w="468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Valor</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Día evaluado</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12 de junio de 2026</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Gasto acumulado real</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1.855,00 Bs.</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Tasa promedio diaria estimada (r₀)</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20,00 Bs./día</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Pendiente atenuada (m·0.5)</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−27,77 Bs./día²</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Gasto proyectado al fin de mes</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1.862,22 Bs.</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Exceso estimado</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0,00 Bs. (no se proyecta sobregiro)</w:t>
            </w:r>
          </w:p>
        </w:tc>
      </w:tr>
      <w:t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Día estimado de agotamiento</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alibri" w:cs="Calibri" w:eastAsia="Calibri" w:hAnsi="Calibri"/>
                <w:sz w:val="22"/>
                <w:szCs w:val="22"/>
              </w:rPr>
              <w:t xml:space="preserve">No aplica este mes</w:t>
            </w:r>
          </w:p>
        </w:tc>
      </w:tr>
    </w:tbl>
    <w:p>
      <w:pPr>
        <w:spacing w:after="120" w:before="80" w:line="320"/>
        <w:jc w:val="both"/>
      </w:pPr>
      <w:r>
        <w:rPr>
          <w:rFonts w:ascii="Calibri" w:cs="Calibri" w:eastAsia="Calibri" w:hAnsi="Calibri"/>
          <w:sz w:val="22"/>
          <w:szCs w:val="22"/>
        </w:rPr>
        <w:t xml:space="preserve">Los valores son consistentes con la intuición financiera: al día doce el usuario ha ejecutado el 53% de su presupuesto. Como la tasa reciente cayó respecto al inicio del mes, la pendiente resultó negativa y RK4 proyecta un cierre por debajo del límite con holgura.</w:t>
      </w:r>
    </w:p>
    <w:p>
      <w:pPr>
        <w:pStyle w:val="Heading2"/>
        <w:spacing w:after="140" w:before="280"/>
      </w:pPr>
      <w:r>
        <w:rPr>
          <w:rFonts w:ascii="Calibri" w:cs="Calibri" w:eastAsia="Calibri" w:hAnsi="Calibri"/>
          <w:b/>
          <w:bCs/>
          <w:color w:val="0F4C81"/>
          <w:sz w:val="26"/>
          <w:szCs w:val="26"/>
        </w:rPr>
        <w:t xml:space="preserve">7.3 Verificación de casos límite</w:t>
      </w:r>
    </w:p>
    <w:p>
      <w:pPr>
        <w:spacing w:after="120" w:before="80" w:line="320"/>
        <w:jc w:val="both"/>
      </w:pPr>
      <w:r>
        <w:rPr>
          <w:rFonts w:ascii="Calibri" w:cs="Calibri" w:eastAsia="Calibri" w:hAnsi="Calibri"/>
          <w:sz w:val="22"/>
          <w:szCs w:val="22"/>
        </w:rPr>
        <w:t xml:space="preserve">Se evaluaron tres escenarios de borde para descartar fallas:</w:t>
      </w:r>
    </w:p>
    <w:p>
      <w:pPr>
        <w:pStyle w:val="ListParagraph"/>
        <w:numPr>
          <w:ilvl w:val="0"/>
          <w:numId w:val="3"/>
        </w:numPr>
        <w:spacing w:after="60" w:before="40" w:line="300"/>
      </w:pPr>
      <w:r>
        <w:rPr>
          <w:rFonts w:ascii="Calibri" w:cs="Calibri" w:eastAsia="Calibri" w:hAnsi="Calibri"/>
          <w:sz w:val="22"/>
          <w:szCs w:val="22"/>
        </w:rPr>
        <w:t xml:space="preserve">Mes sin gastos: la función devuelve gastoActual y gastoProyectado iguales a cero, y la tarjeta de predicción muestra un mensaje informativo sin trazar el gráfico.</w:t>
      </w:r>
    </w:p>
    <w:p>
      <w:pPr>
        <w:pStyle w:val="ListParagraph"/>
        <w:numPr>
          <w:ilvl w:val="0"/>
          <w:numId w:val="3"/>
        </w:numPr>
        <w:spacing w:after="60" w:before="40" w:line="300"/>
      </w:pPr>
      <w:r>
        <w:rPr>
          <w:rFonts w:ascii="Calibri" w:cs="Calibri" w:eastAsia="Calibri" w:hAnsi="Calibri"/>
          <w:sz w:val="22"/>
          <w:szCs w:val="22"/>
        </w:rPr>
        <w:t xml:space="preserve">Presupuesto en cero: la división por cero se controla mediante un condicional previo y la propiedad excederaPresupuesto se mantiene en verdadero.</w:t>
      </w:r>
    </w:p>
    <w:p>
      <w:pPr>
        <w:pStyle w:val="ListParagraph"/>
        <w:numPr>
          <w:ilvl w:val="0"/>
          <w:numId w:val="3"/>
        </w:numPr>
        <w:spacing w:after="60" w:before="40" w:line="300"/>
      </w:pPr>
      <w:r>
        <w:rPr>
          <w:rFonts w:ascii="Calibri" w:cs="Calibri" w:eastAsia="Calibri" w:hAnsi="Calibri"/>
          <w:sz w:val="22"/>
          <w:szCs w:val="22"/>
        </w:rPr>
        <w:t xml:space="preserve">Datos corruptos en localStorage: el hook captura la excepción, registra la advertencia y restablece el estado inicial sin afectar la interfaz.</w:t>
      </w:r>
    </w:p>
    <w:p>
      <w:pPr>
        <w:pStyle w:val="Heading1"/>
        <w:spacing w:after="200" w:before="360"/>
      </w:pPr>
      <w:r>
        <w:rPr>
          <w:rFonts w:ascii="Calibri" w:cs="Calibri" w:eastAsia="Calibri" w:hAnsi="Calibri"/>
          <w:b/>
          <w:bCs/>
          <w:color w:val="0F4C81"/>
          <w:sz w:val="32"/>
          <w:szCs w:val="32"/>
        </w:rPr>
        <w:t xml:space="preserve">8. Conclusiones</w:t>
      </w:r>
    </w:p>
    <w:p>
      <w:pPr>
        <w:spacing w:after="120" w:before="80" w:line="320"/>
        <w:jc w:val="both"/>
      </w:pPr>
      <w:r>
        <w:rPr>
          <w:rFonts w:ascii="Calibri" w:cs="Calibri" w:eastAsia="Calibri" w:hAnsi="Calibri"/>
          <w:sz w:val="22"/>
          <w:szCs w:val="22"/>
        </w:rPr>
        <w:t xml:space="preserve">El Semáforo Presupuestario demuestra que un problema cotidiano y aparentemente sencillo puede beneficiarse de técnicas matemáticas avanzadas cuando se integran con una interfaz cuidada. La aplicación del método de Runge-Kutta de cuarto orden a la proyección del gasto mensual produjo resultados coherentes y útiles, en particular al detectar tendencias que la simple extrapolación lineal no captura.</w:t>
      </w:r>
    </w:p>
    <w:p>
      <w:pPr>
        <w:spacing w:after="120" w:before="80" w:line="320"/>
        <w:jc w:val="both"/>
      </w:pPr>
      <w:r>
        <w:rPr>
          <w:rFonts w:ascii="Calibri" w:cs="Calibri" w:eastAsia="Calibri" w:hAnsi="Calibri"/>
          <w:sz w:val="22"/>
          <w:szCs w:val="22"/>
        </w:rPr>
        <w:t xml:space="preserve">Desde el punto de vista interdisciplinario, el proyecto consolidó tres dominios: la formulación contable del problema, la implementación tecnológica robusta y la fundamentación matemática del módulo predictivo. La separación clara entre estos dominios en el código fuente (datos, utilidades matemáticas y componentes visuales) facilita su mantenimiento y futura extensión.</w:t>
      </w:r>
    </w:p>
    <w:p>
      <w:pPr>
        <w:spacing w:after="120" w:before="80" w:line="320"/>
        <w:jc w:val="both"/>
      </w:pPr>
      <w:r>
        <w:rPr>
          <w:rFonts w:ascii="Calibri" w:cs="Calibri" w:eastAsia="Calibri" w:hAnsi="Calibri"/>
          <w:sz w:val="22"/>
          <w:szCs w:val="22"/>
        </w:rPr>
        <w:t xml:space="preserve">La verificación funcional y numérica respalda la solidez del sistema. La existencia de salvaguardas frente a casos extremos (datos vacíos, presupuesto nulo, almacenamiento corrupto) refleja un enfoque profesional del desarrollo de software.</w:t>
      </w:r>
    </w:p>
    <w:p>
      <w:pPr>
        <w:pStyle w:val="Heading1"/>
        <w:spacing w:after="200" w:before="360"/>
      </w:pPr>
      <w:r>
        <w:rPr>
          <w:rFonts w:ascii="Calibri" w:cs="Calibri" w:eastAsia="Calibri" w:hAnsi="Calibri"/>
          <w:b/>
          <w:bCs/>
          <w:color w:val="0F4C81"/>
          <w:sz w:val="32"/>
          <w:szCs w:val="32"/>
        </w:rPr>
        <w:t xml:space="preserve">9. Trabajo futuro</w:t>
      </w:r>
    </w:p>
    <w:p>
      <w:pPr>
        <w:spacing w:after="120" w:before="80" w:line="320"/>
        <w:jc w:val="both"/>
      </w:pPr>
      <w:r>
        <w:rPr>
          <w:rFonts w:ascii="Calibri" w:cs="Calibri" w:eastAsia="Calibri" w:hAnsi="Calibri"/>
          <w:sz w:val="22"/>
          <w:szCs w:val="22"/>
        </w:rPr>
        <w:t xml:space="preserve">El sistema admite múltiples líneas de extensión que enriquecerían tanto el modelo matemático como la experiencia del usuario:</w:t>
      </w:r>
    </w:p>
    <w:p>
      <w:pPr>
        <w:pStyle w:val="ListParagraph"/>
        <w:numPr>
          <w:ilvl w:val="0"/>
          <w:numId w:val="3"/>
        </w:numPr>
        <w:spacing w:after="60" w:before="40" w:line="300"/>
      </w:pPr>
      <w:r>
        <w:rPr>
          <w:rFonts w:ascii="Calibri" w:cs="Calibri" w:eastAsia="Calibri" w:hAnsi="Calibri"/>
          <w:sz w:val="22"/>
          <w:szCs w:val="22"/>
        </w:rPr>
        <w:t xml:space="preserve">Semáforos por categoría individual, con presupuestos parciales y alertas independientes.</w:t>
      </w:r>
    </w:p>
    <w:p>
      <w:pPr>
        <w:pStyle w:val="ListParagraph"/>
        <w:numPr>
          <w:ilvl w:val="0"/>
          <w:numId w:val="3"/>
        </w:numPr>
        <w:spacing w:after="60" w:before="40" w:line="300"/>
      </w:pPr>
      <w:r>
        <w:rPr>
          <w:rFonts w:ascii="Calibri" w:cs="Calibri" w:eastAsia="Calibri" w:hAnsi="Calibri"/>
          <w:sz w:val="22"/>
          <w:szCs w:val="22"/>
        </w:rPr>
        <w:t xml:space="preserve">Comparación entre métodos numéricos: Euler, Heun y RK4 con análisis de error empírico.</w:t>
      </w:r>
    </w:p>
    <w:p>
      <w:pPr>
        <w:pStyle w:val="ListParagraph"/>
        <w:numPr>
          <w:ilvl w:val="0"/>
          <w:numId w:val="3"/>
        </w:numPr>
        <w:spacing w:after="60" w:before="40" w:line="300"/>
      </w:pPr>
      <w:r>
        <w:rPr>
          <w:rFonts w:ascii="Calibri" w:cs="Calibri" w:eastAsia="Calibri" w:hAnsi="Calibri"/>
          <w:sz w:val="22"/>
          <w:szCs w:val="22"/>
        </w:rPr>
        <w:t xml:space="preserve">Incorporación de estacionalidad semanal en el modelo de tasa, mediante términos sinusoidales.</w:t>
      </w:r>
    </w:p>
    <w:p>
      <w:pPr>
        <w:pStyle w:val="ListParagraph"/>
        <w:numPr>
          <w:ilvl w:val="0"/>
          <w:numId w:val="3"/>
        </w:numPr>
        <w:spacing w:after="60" w:before="40" w:line="300"/>
      </w:pPr>
      <w:r>
        <w:rPr>
          <w:rFonts w:ascii="Calibri" w:cs="Calibri" w:eastAsia="Calibri" w:hAnsi="Calibri"/>
          <w:sz w:val="22"/>
          <w:szCs w:val="22"/>
        </w:rPr>
        <w:t xml:space="preserve">Sincronización con un backend para uso multidispositivo y respaldo en la nube.</w:t>
      </w:r>
    </w:p>
    <w:p>
      <w:pPr>
        <w:pStyle w:val="ListParagraph"/>
        <w:numPr>
          <w:ilvl w:val="0"/>
          <w:numId w:val="3"/>
        </w:numPr>
        <w:spacing w:after="60" w:before="40" w:line="300"/>
      </w:pPr>
      <w:r>
        <w:rPr>
          <w:rFonts w:ascii="Calibri" w:cs="Calibri" w:eastAsia="Calibri" w:hAnsi="Calibri"/>
          <w:sz w:val="22"/>
          <w:szCs w:val="22"/>
        </w:rPr>
        <w:t xml:space="preserve">Exportación de informes mensuales en PDF y migración del frontend a TypeScript para mayor seguridad de tipos.</w:t>
      </w:r>
    </w:p>
    <w:p>
      <w:pPr>
        <w:pStyle w:val="ListParagraph"/>
        <w:numPr>
          <w:ilvl w:val="0"/>
          <w:numId w:val="3"/>
        </w:numPr>
        <w:spacing w:after="60" w:before="40" w:line="300"/>
      </w:pPr>
      <w:r>
        <w:rPr>
          <w:rFonts w:ascii="Calibri" w:cs="Calibri" w:eastAsia="Calibri" w:hAnsi="Calibri"/>
          <w:sz w:val="22"/>
          <w:szCs w:val="22"/>
        </w:rPr>
        <w:t xml:space="preserve">Suite de pruebas automatizadas con Vitest, especialmente sobre el módulo de integración numérica.</w:t>
      </w:r>
    </w:p>
    <w:p>
      <w:pPr>
        <w:pStyle w:val="Heading1"/>
        <w:spacing w:after="200" w:before="360"/>
      </w:pPr>
      <w:r>
        <w:rPr>
          <w:rFonts w:ascii="Calibri" w:cs="Calibri" w:eastAsia="Calibri" w:hAnsi="Calibri"/>
          <w:b/>
          <w:bCs/>
          <w:color w:val="0F4C81"/>
          <w:sz w:val="32"/>
          <w:szCs w:val="32"/>
        </w:rPr>
        <w:t xml:space="preserve">10. Referencias bibliográficas</w:t>
      </w:r>
    </w:p>
    <w:p>
      <w:pPr>
        <w:spacing w:after="120" w:before="80" w:line="320"/>
        <w:jc w:val="both"/>
      </w:pPr>
      <w:r>
        <w:rPr>
          <w:rFonts w:ascii="Calibri" w:cs="Calibri" w:eastAsia="Calibri" w:hAnsi="Calibri"/>
          <w:sz w:val="22"/>
          <w:szCs w:val="22"/>
        </w:rPr>
        <w:t xml:space="preserve">Burden, R. L. y Faires, J. D. (2017). Análisis numérico (10ª ed.). Cengage Learning.</w:t>
      </w:r>
    </w:p>
    <w:p>
      <w:pPr>
        <w:spacing w:after="120" w:before="80" w:line="320"/>
        <w:jc w:val="both"/>
      </w:pPr>
      <w:r>
        <w:rPr>
          <w:rFonts w:ascii="Calibri" w:cs="Calibri" w:eastAsia="Calibri" w:hAnsi="Calibri"/>
          <w:sz w:val="22"/>
          <w:szCs w:val="22"/>
        </w:rPr>
        <w:t xml:space="preserve">Chapra, S. C. y Canale, R. P. (2015). Métodos numéricos para ingenieros (7ª ed.). McGraw-Hill.</w:t>
      </w:r>
    </w:p>
    <w:p>
      <w:pPr>
        <w:spacing w:after="120" w:before="80" w:line="320"/>
        <w:jc w:val="both"/>
      </w:pPr>
      <w:r>
        <w:rPr>
          <w:rFonts w:ascii="Calibri" w:cs="Calibri" w:eastAsia="Calibri" w:hAnsi="Calibri"/>
          <w:sz w:val="22"/>
          <w:szCs w:val="22"/>
        </w:rPr>
        <w:t xml:space="preserve">Butcher, J. C. (2016). Numerical methods for ordinary differential equations (3ª ed.). John Wiley &amp; Sons.</w:t>
      </w:r>
    </w:p>
    <w:p>
      <w:pPr>
        <w:spacing w:after="120" w:before="80" w:line="320"/>
        <w:jc w:val="both"/>
      </w:pPr>
      <w:r>
        <w:rPr>
          <w:rFonts w:ascii="Calibri" w:cs="Calibri" w:eastAsia="Calibri" w:hAnsi="Calibri"/>
          <w:sz w:val="22"/>
          <w:szCs w:val="22"/>
        </w:rPr>
        <w:t xml:space="preserve">Mata-Hernández, M. (2019). Educación financiera y administración del presupuesto familiar. Revista de Economía Aplicada, 27(2), 45-62.</w:t>
      </w:r>
    </w:p>
    <w:p>
      <w:pPr>
        <w:spacing w:after="120" w:before="80" w:line="320"/>
        <w:jc w:val="both"/>
      </w:pPr>
      <w:r>
        <w:rPr>
          <w:rFonts w:ascii="Calibri" w:cs="Calibri" w:eastAsia="Calibri" w:hAnsi="Calibri"/>
          <w:sz w:val="22"/>
          <w:szCs w:val="22"/>
        </w:rPr>
        <w:t xml:space="preserve">React Team (2024). React documentation. Disponible en https://react.dev.</w:t>
      </w:r>
    </w:p>
    <w:p>
      <w:pPr>
        <w:spacing w:after="120" w:before="80" w:line="320"/>
        <w:jc w:val="both"/>
      </w:pPr>
      <w:r>
        <w:rPr>
          <w:rFonts w:ascii="Calibri" w:cs="Calibri" w:eastAsia="Calibri" w:hAnsi="Calibri"/>
          <w:sz w:val="22"/>
          <w:szCs w:val="22"/>
        </w:rPr>
        <w:t xml:space="preserve">Tailwind Labs (2024). Tailwind CSS documentation. Disponible en https://tailwindcss.com.</w:t>
      </w:r>
    </w:p>
    <w:p>
      <w:pPr>
        <w:spacing w:after="120" w:before="80" w:line="320"/>
        <w:jc w:val="both"/>
      </w:pPr>
      <w:r>
        <w:rPr>
          <w:rFonts w:ascii="Calibri" w:cs="Calibri" w:eastAsia="Calibri" w:hAnsi="Calibri"/>
          <w:sz w:val="22"/>
          <w:szCs w:val="22"/>
        </w:rPr>
        <w:t xml:space="preserve">Recharts Contributors (2024). Recharts API reference. Disponible en https://recharts.org.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7280"/>
        <w:sz w:val="18"/>
        <w:szCs w:val="18"/>
      </w:rPr>
      <w:t xml:space="preserve">Universidad Privada Franz Tamayo · 2026</w:t>
    </w:r>
    <w:r>
      <w:rPr>
        <w:rFonts w:ascii="Calibri" w:cs="Calibri" w:eastAsia="Calibri" w:hAnsi="Calibri"/>
        <w:color w:val="6B7280"/>
        <w:sz w:val="18"/>
        <w:szCs w:val="18"/>
      </w:rPr>
      <w:t xml:space="preserve">	Página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de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Semáforo Presupuestario · Informe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4C81"/>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F4C81"/>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Semáforo Presupuestario - Informe del proyecto</dc:title>
  <dc:creator>Rolando Raúl Gutiérrez</dc:creator>
  <dc:description>Aplicación del método de Runge-Kutta de cuarto orden a la predicción del presupuesto personal mensual.</dc:description>
  <cp:lastModifiedBy>Un-named</cp:lastModifiedBy>
  <cp:revision>1</cp:revision>
  <dcterms:created xsi:type="dcterms:W3CDTF">2026-06-12T17:49:21.726Z</dcterms:created>
  <dcterms:modified xsi:type="dcterms:W3CDTF">2026-06-12T17:49:21.726Z</dcterms:modified>
</cp:coreProperties>
</file>

<file path=docProps/custom.xml><?xml version="1.0" encoding="utf-8"?>
<Properties xmlns="http://schemas.openxmlformats.org/officeDocument/2006/custom-properties" xmlns:vt="http://schemas.openxmlformats.org/officeDocument/2006/docPropsVTypes"/>
</file>