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A671741" w14:textId="77777777" w:rsidR="00A337FF" w:rsidRDefault="00A337FF" w:rsidP="00A337FF">
      <w:pPr>
        <w:jc w:val="center"/>
        <w:rPr>
          <w:rFonts w:ascii="Times New Roman" w:hAnsi="Times New Roman" w:cs="Times New Roman"/>
          <w:b/>
          <w:sz w:val="24"/>
          <w:lang w:val="en-US"/>
        </w:rPr>
      </w:pPr>
      <w:r>
        <w:rPr>
          <w:rFonts w:ascii="Times New Roman" w:hAnsi="Times New Roman" w:cs="Times New Roman"/>
          <w:b/>
          <w:sz w:val="24"/>
          <w:lang w:val="en-US"/>
        </w:rPr>
        <w:t>General I</w:t>
      </w:r>
      <w:r w:rsidRPr="00A337FF">
        <w:rPr>
          <w:rFonts w:ascii="Times New Roman" w:hAnsi="Times New Roman" w:cs="Times New Roman"/>
          <w:b/>
          <w:sz w:val="24"/>
          <w:lang w:val="en-US"/>
        </w:rPr>
        <w:t>nformation</w:t>
      </w:r>
    </w:p>
    <w:p w14:paraId="7FF3C9FD" w14:textId="7CE7ECB2" w:rsidR="00CC3A4F" w:rsidRDefault="00F11A05" w:rsidP="00B63A05">
      <w:pPr>
        <w:spacing w:line="360" w:lineRule="auto"/>
        <w:ind w:firstLine="709"/>
        <w:rPr>
          <w:rFonts w:ascii="Times New Roman" w:hAnsi="Times New Roman" w:cs="Times New Roman"/>
          <w:sz w:val="24"/>
          <w:lang w:val="en-GB"/>
        </w:rPr>
      </w:pPr>
      <w:r w:rsidRPr="00F11A05">
        <w:rPr>
          <w:rFonts w:ascii="Times New Roman" w:hAnsi="Times New Roman" w:cs="Times New Roman"/>
          <w:sz w:val="24"/>
          <w:lang w:val="en-GB"/>
        </w:rPr>
        <w:t xml:space="preserve">The current study's aim is to test the </w:t>
      </w:r>
      <w:r w:rsidR="002A19BA">
        <w:rPr>
          <w:rFonts w:ascii="Times New Roman" w:hAnsi="Times New Roman" w:cs="Times New Roman"/>
          <w:sz w:val="24"/>
          <w:lang w:val="en-GB"/>
        </w:rPr>
        <w:t>ut</w:t>
      </w:r>
      <w:r w:rsidR="002A19BA" w:rsidRPr="00F11A05">
        <w:rPr>
          <w:rFonts w:ascii="Times New Roman" w:hAnsi="Times New Roman" w:cs="Times New Roman"/>
          <w:sz w:val="24"/>
          <w:lang w:val="en-GB"/>
        </w:rPr>
        <w:t xml:space="preserve">ility </w:t>
      </w:r>
      <w:r w:rsidRPr="00F11A05">
        <w:rPr>
          <w:rFonts w:ascii="Times New Roman" w:hAnsi="Times New Roman" w:cs="Times New Roman"/>
          <w:sz w:val="24"/>
          <w:lang w:val="en-GB"/>
        </w:rPr>
        <w:t xml:space="preserve">of a new measure to detect and predict non-suicidal self-injury (NSSI). More specifically, we will examine the utility of the autobiographical Implicit Association Test (aIAT; Sartori, Agosta, Zogmaister, Ferrara &amp; Castiello, 2008) within this context. </w:t>
      </w:r>
    </w:p>
    <w:p w14:paraId="4698E3A6" w14:textId="1FFF59C1" w:rsidR="00CC3A4F" w:rsidRDefault="00CC3A4F" w:rsidP="00B63A05">
      <w:pPr>
        <w:spacing w:line="360" w:lineRule="auto"/>
        <w:ind w:firstLine="709"/>
        <w:rPr>
          <w:rFonts w:ascii="Times New Roman" w:hAnsi="Times New Roman" w:cs="Times New Roman"/>
          <w:sz w:val="24"/>
          <w:lang w:val="en-GB"/>
        </w:rPr>
      </w:pPr>
      <w:r w:rsidRPr="00CC3A4F">
        <w:rPr>
          <w:rFonts w:ascii="Times New Roman" w:hAnsi="Times New Roman" w:cs="Times New Roman"/>
          <w:sz w:val="24"/>
          <w:lang w:val="en-GB"/>
        </w:rPr>
        <w:t>In addition to being (physically) harmful, NSSI has shown to be strongly related to</w:t>
      </w:r>
      <w:r w:rsidR="00037AAC">
        <w:rPr>
          <w:rFonts w:ascii="Times New Roman" w:hAnsi="Times New Roman" w:cs="Times New Roman"/>
          <w:sz w:val="24"/>
          <w:lang w:val="en-GB"/>
        </w:rPr>
        <w:t xml:space="preserve"> suicide attempts (e.g., </w:t>
      </w:r>
      <w:r w:rsidR="00037AAC" w:rsidRPr="00037AAC">
        <w:rPr>
          <w:rFonts w:ascii="Times New Roman" w:hAnsi="Times New Roman" w:cs="Times New Roman"/>
          <w:sz w:val="24"/>
          <w:lang w:val="en-GB"/>
        </w:rPr>
        <w:t>Asarnow</w:t>
      </w:r>
      <w:r w:rsidR="00037AAC">
        <w:rPr>
          <w:rFonts w:ascii="Times New Roman" w:hAnsi="Times New Roman" w:cs="Times New Roman"/>
          <w:sz w:val="24"/>
          <w:lang w:val="en-GB"/>
        </w:rPr>
        <w:t xml:space="preserve"> et al., 2011</w:t>
      </w:r>
      <w:r w:rsidRPr="00CC3A4F">
        <w:rPr>
          <w:rFonts w:ascii="Times New Roman" w:hAnsi="Times New Roman" w:cs="Times New Roman"/>
          <w:sz w:val="24"/>
          <w:lang w:val="en-GB"/>
        </w:rPr>
        <w:t>). Methods to determine and predict such behavior are therefore urgently needed. The use of self-reporting tools</w:t>
      </w:r>
      <w:r w:rsidR="00F66CED">
        <w:rPr>
          <w:rFonts w:ascii="Times New Roman" w:hAnsi="Times New Roman" w:cs="Times New Roman"/>
          <w:sz w:val="24"/>
          <w:lang w:val="en-GB"/>
        </w:rPr>
        <w:t xml:space="preserve"> to assess NSSI</w:t>
      </w:r>
      <w:r w:rsidRPr="00CC3A4F">
        <w:rPr>
          <w:rFonts w:ascii="Times New Roman" w:hAnsi="Times New Roman" w:cs="Times New Roman"/>
          <w:sz w:val="24"/>
          <w:lang w:val="en-GB"/>
        </w:rPr>
        <w:t xml:space="preserve"> within clinical contexts </w:t>
      </w:r>
      <w:r w:rsidR="00F66CED">
        <w:rPr>
          <w:rFonts w:ascii="Times New Roman" w:hAnsi="Times New Roman" w:cs="Times New Roman"/>
          <w:sz w:val="24"/>
          <w:lang w:val="en-GB"/>
        </w:rPr>
        <w:t>is</w:t>
      </w:r>
      <w:r w:rsidRPr="00CC3A4F">
        <w:rPr>
          <w:rFonts w:ascii="Times New Roman" w:hAnsi="Times New Roman" w:cs="Times New Roman"/>
          <w:sz w:val="24"/>
          <w:lang w:val="en-GB"/>
        </w:rPr>
        <w:t xml:space="preserve"> problematic. </w:t>
      </w:r>
      <w:r w:rsidR="00CF2D65">
        <w:rPr>
          <w:rFonts w:ascii="Times New Roman" w:hAnsi="Times New Roman" w:cs="Times New Roman"/>
          <w:sz w:val="24"/>
          <w:lang w:val="en-GB"/>
        </w:rPr>
        <w:t>P</w:t>
      </w:r>
      <w:r w:rsidRPr="00CC3A4F">
        <w:rPr>
          <w:rFonts w:ascii="Times New Roman" w:hAnsi="Times New Roman" w:cs="Times New Roman"/>
          <w:sz w:val="24"/>
          <w:lang w:val="en-GB"/>
        </w:rPr>
        <w:t>atients often try to avoid involuntary hospitalization or unwanted clinical treatment by being untruthful about self-harming behavior (</w:t>
      </w:r>
      <w:r w:rsidR="00CF2D65" w:rsidRPr="00B34DB1">
        <w:rPr>
          <w:rFonts w:ascii="Times New Roman" w:hAnsi="Times New Roman" w:cs="Times New Roman"/>
          <w:sz w:val="24"/>
          <w:szCs w:val="24"/>
          <w:lang w:val="en-GB"/>
        </w:rPr>
        <w:t>K</w:t>
      </w:r>
      <w:r w:rsidR="00CF2D65">
        <w:rPr>
          <w:rFonts w:ascii="Times New Roman" w:hAnsi="Times New Roman" w:cs="Times New Roman"/>
          <w:sz w:val="24"/>
          <w:szCs w:val="24"/>
          <w:lang w:val="en-GB"/>
        </w:rPr>
        <w:t xml:space="preserve">ress &amp; Hoffman, 2008; </w:t>
      </w:r>
      <w:r w:rsidR="00B34DB1">
        <w:rPr>
          <w:rFonts w:ascii="Times New Roman" w:hAnsi="Times New Roman" w:cs="Times New Roman"/>
          <w:sz w:val="24"/>
          <w:lang w:val="en-GB"/>
        </w:rPr>
        <w:t>Walsh, 2012</w:t>
      </w:r>
      <w:r w:rsidRPr="00CC3A4F">
        <w:rPr>
          <w:rFonts w:ascii="Times New Roman" w:hAnsi="Times New Roman" w:cs="Times New Roman"/>
          <w:sz w:val="24"/>
          <w:lang w:val="en-GB"/>
        </w:rPr>
        <w:t>). To overcome these problems, researchers started testing the utility of the Imp</w:t>
      </w:r>
      <w:r w:rsidR="00CF2D65">
        <w:rPr>
          <w:rFonts w:ascii="Times New Roman" w:hAnsi="Times New Roman" w:cs="Times New Roman"/>
          <w:sz w:val="24"/>
          <w:lang w:val="en-GB"/>
        </w:rPr>
        <w:t xml:space="preserve">licit Association Test (IAT; </w:t>
      </w:r>
      <w:r w:rsidR="00E72621">
        <w:rPr>
          <w:rFonts w:ascii="Times New Roman" w:hAnsi="Times New Roman" w:cs="Times New Roman"/>
          <w:sz w:val="24"/>
          <w:lang w:val="en-US"/>
        </w:rPr>
        <w:t>Greenwald, McGhee, &amp;</w:t>
      </w:r>
      <w:r w:rsidR="00CF2D65">
        <w:rPr>
          <w:rFonts w:ascii="Times New Roman" w:hAnsi="Times New Roman" w:cs="Times New Roman"/>
          <w:sz w:val="24"/>
          <w:lang w:val="en-US"/>
        </w:rPr>
        <w:t xml:space="preserve"> Schwartz, 1998</w:t>
      </w:r>
      <w:r w:rsidRPr="00CC3A4F">
        <w:rPr>
          <w:rFonts w:ascii="Times New Roman" w:hAnsi="Times New Roman" w:cs="Times New Roman"/>
          <w:sz w:val="24"/>
          <w:lang w:val="en-GB"/>
        </w:rPr>
        <w:t xml:space="preserve">). Because of its format, the IAT is able to assess behavior under conditions of automaticity (see Moors, 2016), such as reduced intentionality to categorize certain target words together with valenced words. For example, during a racial IAT, participants’ </w:t>
      </w:r>
      <w:r w:rsidR="002A19BA">
        <w:rPr>
          <w:rFonts w:ascii="Times New Roman" w:hAnsi="Times New Roman" w:cs="Times New Roman"/>
          <w:sz w:val="24"/>
          <w:lang w:val="en-GB"/>
        </w:rPr>
        <w:t>evaluations of</w:t>
      </w:r>
      <w:r w:rsidR="00B63A05">
        <w:rPr>
          <w:rFonts w:ascii="Times New Roman" w:hAnsi="Times New Roman" w:cs="Times New Roman"/>
          <w:sz w:val="24"/>
          <w:lang w:val="en-GB"/>
        </w:rPr>
        <w:t xml:space="preserve"> </w:t>
      </w:r>
      <w:r w:rsidR="002A19BA">
        <w:rPr>
          <w:rFonts w:ascii="Times New Roman" w:hAnsi="Times New Roman" w:cs="Times New Roman"/>
          <w:sz w:val="24"/>
          <w:lang w:val="en-GB"/>
        </w:rPr>
        <w:t>B</w:t>
      </w:r>
      <w:r w:rsidR="00B63A05">
        <w:rPr>
          <w:rFonts w:ascii="Times New Roman" w:hAnsi="Times New Roman" w:cs="Times New Roman"/>
          <w:sz w:val="24"/>
          <w:lang w:val="en-GB"/>
        </w:rPr>
        <w:t xml:space="preserve">lack people </w:t>
      </w:r>
      <w:r w:rsidR="002A19BA">
        <w:rPr>
          <w:rFonts w:ascii="Times New Roman" w:hAnsi="Times New Roman" w:cs="Times New Roman"/>
          <w:sz w:val="24"/>
          <w:lang w:val="en-GB"/>
        </w:rPr>
        <w:t>might influence racial IAT scores but this</w:t>
      </w:r>
      <w:r w:rsidRPr="00CC3A4F">
        <w:rPr>
          <w:rFonts w:ascii="Times New Roman" w:hAnsi="Times New Roman" w:cs="Times New Roman"/>
          <w:sz w:val="24"/>
          <w:lang w:val="en-GB"/>
        </w:rPr>
        <w:t xml:space="preserve"> </w:t>
      </w:r>
      <w:r w:rsidR="002A19BA">
        <w:rPr>
          <w:rFonts w:ascii="Times New Roman" w:hAnsi="Times New Roman" w:cs="Times New Roman"/>
          <w:sz w:val="24"/>
          <w:lang w:val="en-GB"/>
        </w:rPr>
        <w:t xml:space="preserve">influence might be </w:t>
      </w:r>
      <w:r w:rsidRPr="00CC3A4F">
        <w:rPr>
          <w:rFonts w:ascii="Times New Roman" w:hAnsi="Times New Roman" w:cs="Times New Roman"/>
          <w:sz w:val="24"/>
          <w:lang w:val="en-GB"/>
        </w:rPr>
        <w:t xml:space="preserve">less intentional than </w:t>
      </w:r>
      <w:r w:rsidR="002A19BA">
        <w:rPr>
          <w:rFonts w:ascii="Times New Roman" w:hAnsi="Times New Roman" w:cs="Times New Roman"/>
          <w:sz w:val="24"/>
          <w:lang w:val="en-GB"/>
        </w:rPr>
        <w:t xml:space="preserve">when completing self-reported measures of </w:t>
      </w:r>
      <w:r w:rsidRPr="00CC3A4F">
        <w:rPr>
          <w:rFonts w:ascii="Times New Roman" w:hAnsi="Times New Roman" w:cs="Times New Roman"/>
          <w:sz w:val="24"/>
          <w:lang w:val="en-GB"/>
        </w:rPr>
        <w:t xml:space="preserve">evaluation </w:t>
      </w:r>
      <w:r w:rsidR="002A19BA">
        <w:rPr>
          <w:rFonts w:ascii="Times New Roman" w:hAnsi="Times New Roman" w:cs="Times New Roman"/>
          <w:sz w:val="24"/>
          <w:lang w:val="en-GB"/>
        </w:rPr>
        <w:t>of Black people</w:t>
      </w:r>
      <w:r w:rsidRPr="00CC3A4F">
        <w:rPr>
          <w:rFonts w:ascii="Times New Roman" w:hAnsi="Times New Roman" w:cs="Times New Roman"/>
          <w:sz w:val="24"/>
          <w:lang w:val="en-GB"/>
        </w:rPr>
        <w:t xml:space="preserve">. In other words, the IAT is less susceptible to self-report related problems and could, therefore, be useful in contexts in which the assessment of sensitive behavior is required. </w:t>
      </w:r>
    </w:p>
    <w:p w14:paraId="3C042A1D" w14:textId="2C797072" w:rsidR="00CC3A4F" w:rsidRPr="00E72621" w:rsidRDefault="00CC3A4F" w:rsidP="00B63A05">
      <w:pPr>
        <w:spacing w:line="360" w:lineRule="auto"/>
        <w:ind w:firstLine="709"/>
        <w:rPr>
          <w:rFonts w:ascii="Times New Roman" w:hAnsi="Times New Roman" w:cs="Times New Roman"/>
          <w:sz w:val="28"/>
          <w:lang w:val="en-GB"/>
        </w:rPr>
      </w:pPr>
      <w:r w:rsidRPr="00CC3A4F">
        <w:rPr>
          <w:rFonts w:ascii="Times New Roman" w:hAnsi="Times New Roman" w:cs="Times New Roman"/>
          <w:sz w:val="24"/>
          <w:lang w:val="en-GB"/>
        </w:rPr>
        <w:t>Previous studies tested the utility of the self-injury IAT to detect NSSI and produced promising results</w:t>
      </w:r>
      <w:r w:rsidR="00CF2D65">
        <w:rPr>
          <w:rFonts w:ascii="Times New Roman" w:hAnsi="Times New Roman" w:cs="Times New Roman"/>
          <w:sz w:val="24"/>
          <w:lang w:val="en-GB"/>
        </w:rPr>
        <w:t xml:space="preserve"> (e.g., </w:t>
      </w:r>
      <w:r w:rsidR="00CF2D65">
        <w:rPr>
          <w:rFonts w:ascii="Times New Roman" w:hAnsi="Times New Roman" w:cs="Times New Roman"/>
          <w:sz w:val="24"/>
          <w:lang w:val="en" w:eastAsia="nl-BE"/>
        </w:rPr>
        <w:t>Cha et al., 2016; Glenn et al., 2017; Nock &amp; Banaji, 2007)</w:t>
      </w:r>
      <w:r w:rsidRPr="00CC3A4F">
        <w:rPr>
          <w:rFonts w:ascii="Times New Roman" w:hAnsi="Times New Roman" w:cs="Times New Roman"/>
          <w:sz w:val="24"/>
          <w:lang w:val="en-GB"/>
        </w:rPr>
        <w:t>. One major disadvantage of the self-injury IAT however, is that the stimuli that are being used, consist of pictures of skin that has been cut. Repeatedly exposing patients with a history of self-harm (and often suicide attempts) to such explicit pictures, might come with iatrogenic risks. Indeed, growing evidence shows that exposure to suicide-related content (e.g., in media) strongly increases the risk of s</w:t>
      </w:r>
      <w:r w:rsidR="00E72621">
        <w:rPr>
          <w:rFonts w:ascii="Times New Roman" w:hAnsi="Times New Roman" w:cs="Times New Roman"/>
          <w:sz w:val="24"/>
          <w:lang w:val="en-GB"/>
        </w:rPr>
        <w:t xml:space="preserve">uicide and suicide-attempts (e.g., Gould, </w:t>
      </w:r>
      <w:r w:rsidR="00E72621" w:rsidRPr="00E72621">
        <w:rPr>
          <w:rFonts w:ascii="Times New Roman" w:hAnsi="Times New Roman" w:cs="Times New Roman"/>
          <w:sz w:val="24"/>
          <w:lang w:val="en-GB"/>
        </w:rPr>
        <w:t>Jamieso</w:t>
      </w:r>
      <w:r w:rsidR="00E72621">
        <w:rPr>
          <w:rFonts w:ascii="Times New Roman" w:hAnsi="Times New Roman" w:cs="Times New Roman"/>
          <w:sz w:val="24"/>
          <w:lang w:val="en-GB"/>
        </w:rPr>
        <w:t>n, &amp; Romer, 2003</w:t>
      </w:r>
      <w:r w:rsidRPr="00CC3A4F">
        <w:rPr>
          <w:rFonts w:ascii="Times New Roman" w:hAnsi="Times New Roman" w:cs="Times New Roman"/>
          <w:sz w:val="24"/>
          <w:lang w:val="en-GB"/>
        </w:rPr>
        <w:t xml:space="preserve">). A study by Cha and colleagues (2016) provided an initial test of the potentially damaging effects of exposure to sensitive stimuli during the self-injury IAT. Results showed strong significant effects of IAT </w:t>
      </w:r>
      <w:r w:rsidR="002235C0">
        <w:rPr>
          <w:rFonts w:ascii="Times New Roman" w:hAnsi="Times New Roman" w:cs="Times New Roman"/>
          <w:sz w:val="24"/>
          <w:lang w:val="en-GB"/>
        </w:rPr>
        <w:t xml:space="preserve">performance </w:t>
      </w:r>
      <w:r w:rsidRPr="00CC3A4F">
        <w:rPr>
          <w:rFonts w:ascii="Times New Roman" w:hAnsi="Times New Roman" w:cs="Times New Roman"/>
          <w:sz w:val="24"/>
          <w:lang w:val="en-GB"/>
        </w:rPr>
        <w:t xml:space="preserve">on </w:t>
      </w:r>
      <w:r w:rsidR="002235C0">
        <w:rPr>
          <w:rFonts w:ascii="Times New Roman" w:hAnsi="Times New Roman" w:cs="Times New Roman"/>
          <w:sz w:val="24"/>
          <w:lang w:val="en-GB"/>
        </w:rPr>
        <w:t xml:space="preserve">reports of </w:t>
      </w:r>
      <w:r w:rsidRPr="00CC3A4F">
        <w:rPr>
          <w:rFonts w:ascii="Times New Roman" w:hAnsi="Times New Roman" w:cs="Times New Roman"/>
          <w:sz w:val="24"/>
          <w:lang w:val="en-GB"/>
        </w:rPr>
        <w:t>a desire to die and a decline in mood (</w:t>
      </w:r>
      <w:r w:rsidRPr="00CC3A4F">
        <w:rPr>
          <w:rStyle w:val="Nadruk"/>
          <w:rFonts w:ascii="Times New Roman" w:hAnsi="Times New Roman" w:cs="Times New Roman"/>
          <w:color w:val="0E101A"/>
          <w:sz w:val="24"/>
          <w:lang w:val="en-GB"/>
        </w:rPr>
        <w:t>p</w:t>
      </w:r>
      <w:r w:rsidRPr="00CC3A4F">
        <w:rPr>
          <w:rFonts w:ascii="Times New Roman" w:hAnsi="Times New Roman" w:cs="Times New Roman"/>
          <w:sz w:val="24"/>
          <w:lang w:val="en-GB"/>
        </w:rPr>
        <w:t>s &lt; .001). Although the effects were small, statistically speaking, they could be of clinical significance. Clinicians see individuals behind the numbers and might not be willing to expose th</w:t>
      </w:r>
      <w:r w:rsidR="00B63A05">
        <w:rPr>
          <w:rFonts w:ascii="Times New Roman" w:hAnsi="Times New Roman" w:cs="Times New Roman"/>
          <w:sz w:val="24"/>
          <w:lang w:val="en-GB"/>
        </w:rPr>
        <w:t>eir patients to stimuli that have</w:t>
      </w:r>
      <w:r w:rsidRPr="00CC3A4F">
        <w:rPr>
          <w:rFonts w:ascii="Times New Roman" w:hAnsi="Times New Roman" w:cs="Times New Roman"/>
          <w:sz w:val="24"/>
          <w:lang w:val="en-GB"/>
        </w:rPr>
        <w:t xml:space="preserve"> potentially damaging</w:t>
      </w:r>
      <w:r w:rsidR="00B63A05">
        <w:rPr>
          <w:rFonts w:ascii="Times New Roman" w:hAnsi="Times New Roman" w:cs="Times New Roman"/>
          <w:sz w:val="24"/>
          <w:lang w:val="en-GB"/>
        </w:rPr>
        <w:t xml:space="preserve"> effects</w:t>
      </w:r>
      <w:r w:rsidRPr="00CC3A4F">
        <w:rPr>
          <w:rFonts w:ascii="Times New Roman" w:hAnsi="Times New Roman" w:cs="Times New Roman"/>
          <w:sz w:val="24"/>
          <w:lang w:val="en-GB"/>
        </w:rPr>
        <w:t xml:space="preserve">. Moreover, the study </w:t>
      </w:r>
      <w:r w:rsidR="001656C9">
        <w:rPr>
          <w:rFonts w:ascii="Times New Roman" w:hAnsi="Times New Roman" w:cs="Times New Roman"/>
          <w:sz w:val="24"/>
          <w:lang w:val="en-GB"/>
        </w:rPr>
        <w:lastRenderedPageBreak/>
        <w:t>by Cha and colleagues</w:t>
      </w:r>
      <w:r w:rsidR="008651EE">
        <w:rPr>
          <w:rFonts w:ascii="Times New Roman" w:hAnsi="Times New Roman" w:cs="Times New Roman"/>
          <w:sz w:val="24"/>
          <w:lang w:val="en-GB"/>
        </w:rPr>
        <w:t xml:space="preserve"> (2016)</w:t>
      </w:r>
      <w:r w:rsidR="001656C9">
        <w:rPr>
          <w:rFonts w:ascii="Times New Roman" w:hAnsi="Times New Roman" w:cs="Times New Roman"/>
          <w:sz w:val="24"/>
          <w:lang w:val="en-GB"/>
        </w:rPr>
        <w:t xml:space="preserve"> </w:t>
      </w:r>
      <w:r w:rsidRPr="00CC3A4F">
        <w:rPr>
          <w:rFonts w:ascii="Times New Roman" w:hAnsi="Times New Roman" w:cs="Times New Roman"/>
          <w:sz w:val="24"/>
          <w:lang w:val="en-GB"/>
        </w:rPr>
        <w:t xml:space="preserve">had several limitations </w:t>
      </w:r>
      <w:r w:rsidR="00CA57C2">
        <w:rPr>
          <w:rFonts w:ascii="Times New Roman" w:hAnsi="Times New Roman" w:cs="Times New Roman"/>
          <w:sz w:val="24"/>
          <w:lang w:val="en-GB"/>
        </w:rPr>
        <w:t xml:space="preserve">and further research is </w:t>
      </w:r>
      <w:r w:rsidRPr="00CC3A4F">
        <w:rPr>
          <w:rFonts w:ascii="Times New Roman" w:hAnsi="Times New Roman" w:cs="Times New Roman"/>
          <w:sz w:val="24"/>
          <w:lang w:val="en-GB"/>
        </w:rPr>
        <w:t>needed before implementing the self-injury IAT in clinical contexts.   </w:t>
      </w:r>
    </w:p>
    <w:p w14:paraId="022F9447" w14:textId="7FC80BE3" w:rsidR="002A3F4A" w:rsidRDefault="00CC3A4F" w:rsidP="0063515E">
      <w:pPr>
        <w:spacing w:line="360" w:lineRule="auto"/>
        <w:ind w:firstLine="709"/>
        <w:rPr>
          <w:rFonts w:ascii="Times New Roman" w:hAnsi="Times New Roman" w:cs="Times New Roman"/>
          <w:sz w:val="24"/>
          <w:szCs w:val="20"/>
          <w:lang w:val="en-GB"/>
        </w:rPr>
      </w:pPr>
      <w:r w:rsidRPr="00CC3A4F">
        <w:rPr>
          <w:rFonts w:ascii="Times New Roman" w:hAnsi="Times New Roman" w:cs="Times New Roman"/>
          <w:sz w:val="24"/>
          <w:szCs w:val="20"/>
          <w:lang w:val="en-GB"/>
        </w:rPr>
        <w:t xml:space="preserve">Another possibility is to create an implicit measure that does not expose patients to delicate stimuli. During the aIAT, participants are asked to categorize statements regarding two sorts of past events (e.g., “I have cut my skin on purpose” or “I have never cut my skin on purpose”) and statements that are logically true or false (e.g., “I’m doing a psychology study” or “I’m climbing a mountain”). The aIAT is able to detect which of the two events has happened in the past. When participants </w:t>
      </w:r>
      <w:r w:rsidR="00B63A05">
        <w:rPr>
          <w:rFonts w:ascii="Times New Roman" w:hAnsi="Times New Roman" w:cs="Times New Roman"/>
          <w:sz w:val="24"/>
          <w:szCs w:val="20"/>
          <w:lang w:val="en-GB"/>
        </w:rPr>
        <w:t>respond faster</w:t>
      </w:r>
      <w:r w:rsidRPr="00CC3A4F">
        <w:rPr>
          <w:rFonts w:ascii="Times New Roman" w:hAnsi="Times New Roman" w:cs="Times New Roman"/>
          <w:sz w:val="24"/>
          <w:szCs w:val="20"/>
          <w:lang w:val="en-GB"/>
        </w:rPr>
        <w:t xml:space="preserve"> to the combination of statements that are logically true and one of the autobiographical events, one can infer that this autobiographical </w:t>
      </w:r>
      <w:r w:rsidR="002235C0">
        <w:rPr>
          <w:rFonts w:ascii="Times New Roman" w:hAnsi="Times New Roman" w:cs="Times New Roman"/>
          <w:sz w:val="24"/>
          <w:szCs w:val="20"/>
          <w:lang w:val="en-GB"/>
        </w:rPr>
        <w:t xml:space="preserve">event </w:t>
      </w:r>
      <w:r w:rsidRPr="00CC3A4F">
        <w:rPr>
          <w:rFonts w:ascii="Times New Roman" w:hAnsi="Times New Roman" w:cs="Times New Roman"/>
          <w:sz w:val="24"/>
          <w:szCs w:val="20"/>
          <w:lang w:val="en-GB"/>
        </w:rPr>
        <w:t>has occurred, whereas the other did not. A review study by Agosta and Sartori (2013) for example, showed that the aIAT is more than 90% accurate in its detection of past events.</w:t>
      </w:r>
      <w:r w:rsidR="0063515E">
        <w:rPr>
          <w:rFonts w:ascii="Times New Roman" w:hAnsi="Times New Roman" w:cs="Times New Roman"/>
          <w:sz w:val="24"/>
          <w:szCs w:val="20"/>
          <w:lang w:val="en-GB"/>
        </w:rPr>
        <w:t xml:space="preserve"> </w:t>
      </w:r>
      <w:r w:rsidR="0063515E" w:rsidRPr="0063515E">
        <w:rPr>
          <w:rFonts w:ascii="Times New Roman" w:hAnsi="Times New Roman" w:cs="Times New Roman"/>
          <w:sz w:val="24"/>
          <w:szCs w:val="20"/>
          <w:lang w:val="en-GB"/>
        </w:rPr>
        <w:t xml:space="preserve">Note that, merely reporting about past suicidal or NSSI behavior does not result in iatrogenic effects. A recent meta-analysis (Christopher, DeCou, &amp; Matthew, 2018), for example, showed that the assessment of suicidal behavior is not harmful. This </w:t>
      </w:r>
      <w:r w:rsidR="0063515E">
        <w:rPr>
          <w:rFonts w:ascii="Times New Roman" w:hAnsi="Times New Roman" w:cs="Times New Roman"/>
          <w:sz w:val="24"/>
          <w:szCs w:val="20"/>
          <w:lang w:val="en-GB"/>
        </w:rPr>
        <w:t>also extends to NSSI behavior. For instance, a</w:t>
      </w:r>
      <w:r w:rsidR="0063515E" w:rsidRPr="0063515E">
        <w:rPr>
          <w:rFonts w:ascii="Times New Roman" w:hAnsi="Times New Roman" w:cs="Times New Roman"/>
          <w:sz w:val="24"/>
          <w:szCs w:val="20"/>
          <w:lang w:val="en-GB"/>
        </w:rPr>
        <w:t xml:space="preserve"> study by Muehlenkamp a</w:t>
      </w:r>
      <w:r w:rsidR="0063515E">
        <w:rPr>
          <w:rFonts w:ascii="Times New Roman" w:hAnsi="Times New Roman" w:cs="Times New Roman"/>
          <w:sz w:val="24"/>
          <w:szCs w:val="20"/>
          <w:lang w:val="en-GB"/>
        </w:rPr>
        <w:t>nd colleagues (2014)</w:t>
      </w:r>
      <w:r w:rsidR="0063515E" w:rsidRPr="0063515E">
        <w:rPr>
          <w:rFonts w:ascii="Times New Roman" w:hAnsi="Times New Roman" w:cs="Times New Roman"/>
          <w:sz w:val="24"/>
          <w:szCs w:val="20"/>
          <w:lang w:val="en-GB"/>
        </w:rPr>
        <w:t xml:space="preserve"> showed that reporting on NSSI behavior did not result in risks over shorter (i.e., immediately after assessment) or longer periods of time (i.e., 3 weeks). Therefore, the use of the aIAT within clinical contexts</w:t>
      </w:r>
      <w:r w:rsidR="00FF5FE5">
        <w:rPr>
          <w:rFonts w:ascii="Times New Roman" w:hAnsi="Times New Roman" w:cs="Times New Roman"/>
          <w:sz w:val="24"/>
          <w:szCs w:val="20"/>
          <w:lang w:val="en-GB"/>
        </w:rPr>
        <w:t xml:space="preserve"> and studies</w:t>
      </w:r>
      <w:r w:rsidR="0063515E" w:rsidRPr="0063515E">
        <w:rPr>
          <w:rFonts w:ascii="Times New Roman" w:hAnsi="Times New Roman" w:cs="Times New Roman"/>
          <w:sz w:val="24"/>
          <w:szCs w:val="20"/>
          <w:lang w:val="en-GB"/>
        </w:rPr>
        <w:t xml:space="preserve"> might </w:t>
      </w:r>
      <w:r w:rsidR="00FF5FE5">
        <w:rPr>
          <w:rFonts w:ascii="Times New Roman" w:hAnsi="Times New Roman" w:cs="Times New Roman"/>
          <w:sz w:val="24"/>
          <w:szCs w:val="20"/>
          <w:lang w:val="en-GB"/>
        </w:rPr>
        <w:t>be more ethical</w:t>
      </w:r>
      <w:r w:rsidR="001656C9">
        <w:rPr>
          <w:rFonts w:ascii="Times New Roman" w:hAnsi="Times New Roman" w:cs="Times New Roman"/>
          <w:sz w:val="24"/>
          <w:szCs w:val="20"/>
          <w:lang w:val="en-GB"/>
        </w:rPr>
        <w:t>ly responsible than using IATs that</w:t>
      </w:r>
      <w:r w:rsidR="00FF5FE5">
        <w:rPr>
          <w:rFonts w:ascii="Times New Roman" w:hAnsi="Times New Roman" w:cs="Times New Roman"/>
          <w:sz w:val="24"/>
          <w:szCs w:val="20"/>
          <w:lang w:val="en-GB"/>
        </w:rPr>
        <w:t xml:space="preserve"> include explicit stimuli. </w:t>
      </w:r>
    </w:p>
    <w:p w14:paraId="06D07414" w14:textId="742E230C" w:rsidR="00CC3A4F" w:rsidRDefault="00CC3A4F" w:rsidP="00B63A05">
      <w:pPr>
        <w:spacing w:line="360" w:lineRule="auto"/>
        <w:ind w:firstLine="709"/>
        <w:rPr>
          <w:rFonts w:ascii="Times New Roman" w:hAnsi="Times New Roman" w:cs="Times New Roman"/>
          <w:sz w:val="24"/>
          <w:szCs w:val="20"/>
          <w:lang w:val="en-GB"/>
        </w:rPr>
      </w:pPr>
      <w:r w:rsidRPr="00CC3A4F">
        <w:rPr>
          <w:rFonts w:ascii="Times New Roman" w:hAnsi="Times New Roman" w:cs="Times New Roman"/>
          <w:sz w:val="24"/>
          <w:szCs w:val="20"/>
          <w:lang w:val="en-GB"/>
        </w:rPr>
        <w:t>A second important reason for choosing to test the aIAT within the context of NSSI is the growing evidence showing that</w:t>
      </w:r>
      <w:r w:rsidR="00C011A1">
        <w:rPr>
          <w:rFonts w:ascii="Times New Roman" w:hAnsi="Times New Roman" w:cs="Times New Roman"/>
          <w:sz w:val="24"/>
          <w:szCs w:val="20"/>
          <w:lang w:val="en-GB"/>
        </w:rPr>
        <w:t xml:space="preserve"> past</w:t>
      </w:r>
      <w:r w:rsidRPr="00CC3A4F">
        <w:rPr>
          <w:rFonts w:ascii="Times New Roman" w:hAnsi="Times New Roman" w:cs="Times New Roman"/>
          <w:sz w:val="24"/>
          <w:szCs w:val="20"/>
          <w:lang w:val="en-GB"/>
        </w:rPr>
        <w:t xml:space="preserve"> NSSI is the strongest (and often only) predictor of future NSSI behavior. An eight-year longitudinal study by Tuisku and colleagues (2014) for example, showed that the only significant predictor between the one and eight years follow-ups was past NSSI. Moreover, several studies have shown that past NSSI behavior is a strong predictor (and often an even stronger predictor than past suicide attempts)</w:t>
      </w:r>
      <w:r w:rsidR="00E72621">
        <w:rPr>
          <w:rFonts w:ascii="Times New Roman" w:hAnsi="Times New Roman" w:cs="Times New Roman"/>
          <w:sz w:val="24"/>
          <w:szCs w:val="20"/>
          <w:lang w:val="en-GB"/>
        </w:rPr>
        <w:t xml:space="preserve"> of future suicide attempts (e.g., </w:t>
      </w:r>
      <w:r w:rsidR="00E72621" w:rsidRPr="00E72621">
        <w:rPr>
          <w:rFonts w:ascii="Times New Roman" w:hAnsi="Times New Roman" w:cs="Times New Roman"/>
          <w:sz w:val="24"/>
          <w:lang w:val="en-GB"/>
        </w:rPr>
        <w:t>Wilkinson,</w:t>
      </w:r>
      <w:r w:rsidR="00E72621">
        <w:rPr>
          <w:rFonts w:ascii="Times New Roman" w:hAnsi="Times New Roman" w:cs="Times New Roman"/>
          <w:sz w:val="24"/>
          <w:lang w:val="en-GB"/>
        </w:rPr>
        <w:t xml:space="preserve"> 2011</w:t>
      </w:r>
      <w:r w:rsidRPr="00CC3A4F">
        <w:rPr>
          <w:rFonts w:ascii="Times New Roman" w:hAnsi="Times New Roman" w:cs="Times New Roman"/>
          <w:sz w:val="24"/>
          <w:szCs w:val="20"/>
          <w:lang w:val="en-GB"/>
        </w:rPr>
        <w:t>).</w:t>
      </w:r>
    </w:p>
    <w:p w14:paraId="2C2391BB" w14:textId="186E2008" w:rsidR="00E72621" w:rsidRDefault="00B63A05" w:rsidP="00B63A05">
      <w:pPr>
        <w:pStyle w:val="Normaalweb"/>
        <w:spacing w:before="0" w:beforeAutospacing="0" w:after="0" w:afterAutospacing="0" w:line="360" w:lineRule="auto"/>
        <w:ind w:firstLine="709"/>
        <w:rPr>
          <w:color w:val="0E101A"/>
          <w:lang w:val="en-GB"/>
        </w:rPr>
      </w:pPr>
      <w:r>
        <w:rPr>
          <w:color w:val="0E101A"/>
          <w:lang w:val="en-GB"/>
        </w:rPr>
        <w:t xml:space="preserve">The aims of the current study </w:t>
      </w:r>
      <w:r w:rsidR="00CC3A4F" w:rsidRPr="00CC3A4F">
        <w:rPr>
          <w:color w:val="0E101A"/>
          <w:lang w:val="en-GB"/>
        </w:rPr>
        <w:t>are to test (a) whether the aIAT can discriminate between self-injurers and non-injurers, (b) the predictive utility of the aIAT for the like</w:t>
      </w:r>
      <w:r w:rsidR="002C00BC">
        <w:rPr>
          <w:color w:val="0E101A"/>
          <w:lang w:val="en-GB"/>
        </w:rPr>
        <w:t>lihood of future NSSI behaviour and, (c</w:t>
      </w:r>
      <w:r w:rsidR="00CC3A4F" w:rsidRPr="00CC3A4F">
        <w:rPr>
          <w:color w:val="0E101A"/>
          <w:lang w:val="en-GB"/>
        </w:rPr>
        <w:t>) whether the aIAT shows incremental validity over and beyond known risk factors.</w:t>
      </w:r>
      <w:r w:rsidR="002C00BC">
        <w:rPr>
          <w:color w:val="0E101A"/>
          <w:lang w:val="en-GB"/>
        </w:rPr>
        <w:t xml:space="preserve"> </w:t>
      </w:r>
      <w:r w:rsidR="00CC3A4F" w:rsidRPr="00CC3A4F">
        <w:rPr>
          <w:color w:val="0E101A"/>
          <w:lang w:val="en-GB"/>
        </w:rPr>
        <w:t xml:space="preserve">A meta-analysis by Fox and colleagues (2015) examined several potential risk factors and showed that past NSSI behaviour (OR = 5.95), </w:t>
      </w:r>
      <w:r w:rsidR="00CC3A4F" w:rsidRPr="00CC3A4F">
        <w:rPr>
          <w:color w:val="0E101A"/>
          <w:lang w:val="en-GB"/>
        </w:rPr>
        <w:lastRenderedPageBreak/>
        <w:t>hopelessness (OR = 3.08) and prior suicidal thoughts (OR = 2.21) showed the largest effects</w:t>
      </w:r>
      <w:r w:rsidR="00CC3A4F">
        <w:rPr>
          <w:rStyle w:val="Voetnootmarkering"/>
          <w:color w:val="0E101A"/>
          <w:lang w:val="en-GB"/>
        </w:rPr>
        <w:footnoteReference w:id="1"/>
      </w:r>
      <w:r w:rsidR="00CC3A4F" w:rsidRPr="00CC3A4F">
        <w:rPr>
          <w:color w:val="0E101A"/>
          <w:lang w:val="en-GB"/>
        </w:rPr>
        <w:t xml:space="preserve">. Therefore, we will compare the </w:t>
      </w:r>
      <w:r w:rsidR="002A6110">
        <w:rPr>
          <w:color w:val="0E101A"/>
          <w:lang w:val="en-GB"/>
        </w:rPr>
        <w:t>predictive utility</w:t>
      </w:r>
      <w:r w:rsidR="002A6110" w:rsidRPr="00CC3A4F">
        <w:rPr>
          <w:color w:val="0E101A"/>
          <w:lang w:val="en-GB"/>
        </w:rPr>
        <w:t xml:space="preserve"> </w:t>
      </w:r>
      <w:r w:rsidR="00CC3A4F" w:rsidRPr="00CC3A4F">
        <w:rPr>
          <w:color w:val="0E101A"/>
          <w:lang w:val="en-GB"/>
        </w:rPr>
        <w:t>of the aIA</w:t>
      </w:r>
      <w:r w:rsidR="00750742">
        <w:rPr>
          <w:color w:val="0E101A"/>
          <w:lang w:val="en-GB"/>
        </w:rPr>
        <w:t>T to these risk factors. I</w:t>
      </w:r>
      <w:r w:rsidR="00CC3A4F" w:rsidRPr="00CC3A4F">
        <w:rPr>
          <w:color w:val="0E101A"/>
          <w:lang w:val="en-GB"/>
        </w:rPr>
        <w:t xml:space="preserve">n the literature, </w:t>
      </w:r>
      <w:r w:rsidR="00CA57C2">
        <w:rPr>
          <w:color w:val="0E101A"/>
          <w:lang w:val="en-GB"/>
        </w:rPr>
        <w:t xml:space="preserve">gender, age and </w:t>
      </w:r>
      <w:r w:rsidR="00CC3A4F" w:rsidRPr="00CC3A4F">
        <w:rPr>
          <w:color w:val="0E101A"/>
          <w:lang w:val="en-GB"/>
        </w:rPr>
        <w:t xml:space="preserve">several mental disorders (e.g., mood disorders, eating </w:t>
      </w:r>
      <w:r w:rsidR="00CA57C2">
        <w:rPr>
          <w:color w:val="0E101A"/>
          <w:lang w:val="en-GB"/>
        </w:rPr>
        <w:t xml:space="preserve">disorders, etc.), </w:t>
      </w:r>
      <w:r w:rsidR="00CC3A4F" w:rsidRPr="00CC3A4F">
        <w:rPr>
          <w:color w:val="0E101A"/>
          <w:lang w:val="en-GB"/>
        </w:rPr>
        <w:t>are often consider</w:t>
      </w:r>
      <w:r w:rsidR="000112AF">
        <w:rPr>
          <w:color w:val="0E101A"/>
          <w:lang w:val="en-GB"/>
        </w:rPr>
        <w:t xml:space="preserve">ed to be important risk factors. However, studies examining these risk factors </w:t>
      </w:r>
      <w:r w:rsidR="0020778B">
        <w:rPr>
          <w:color w:val="0E101A"/>
          <w:lang w:val="en-GB"/>
        </w:rPr>
        <w:t xml:space="preserve">produced </w:t>
      </w:r>
      <w:r w:rsidR="000112AF">
        <w:rPr>
          <w:color w:val="0E101A"/>
          <w:lang w:val="en-GB"/>
        </w:rPr>
        <w:t xml:space="preserve">mixed results. </w:t>
      </w:r>
      <w:r w:rsidR="00CC3A4F" w:rsidRPr="00CC3A4F">
        <w:rPr>
          <w:color w:val="0E101A"/>
          <w:lang w:val="en-GB"/>
        </w:rPr>
        <w:t>Nevertheless, we will also examine incremental validity of the aIAT in relation to these risk factors.</w:t>
      </w:r>
      <w:r w:rsidR="0020778B">
        <w:rPr>
          <w:color w:val="0E101A"/>
          <w:lang w:val="en-GB"/>
        </w:rPr>
        <w:t xml:space="preserve"> </w:t>
      </w:r>
      <w:r w:rsidR="002C00BC">
        <w:rPr>
          <w:color w:val="0E101A"/>
          <w:lang w:val="en-GB"/>
        </w:rPr>
        <w:t xml:space="preserve">If sample sizes allow it, we will also explore </w:t>
      </w:r>
      <w:r w:rsidR="002C00BC" w:rsidRPr="00CC3A4F">
        <w:rPr>
          <w:color w:val="0E101A"/>
          <w:lang w:val="en-GB"/>
        </w:rPr>
        <w:t xml:space="preserve">whether the aIAT is more sensitive to recent (i.e., 30 days) or long-term </w:t>
      </w:r>
      <w:r w:rsidR="002C00BC">
        <w:rPr>
          <w:color w:val="0E101A"/>
          <w:lang w:val="en-GB"/>
        </w:rPr>
        <w:t xml:space="preserve">NSSI </w:t>
      </w:r>
      <w:r w:rsidR="002C00BC" w:rsidRPr="00CC3A4F">
        <w:rPr>
          <w:color w:val="0E101A"/>
          <w:lang w:val="en-GB"/>
        </w:rPr>
        <w:t>behaviour (i.e., 12 months)</w:t>
      </w:r>
      <w:r w:rsidR="002C00BC">
        <w:rPr>
          <w:color w:val="0E101A"/>
          <w:lang w:val="en-GB"/>
        </w:rPr>
        <w:t>.</w:t>
      </w:r>
      <w:bookmarkStart w:id="0" w:name="_GoBack"/>
      <w:bookmarkEnd w:id="0"/>
      <w:r w:rsidR="002C00BC">
        <w:rPr>
          <w:color w:val="0E101A"/>
          <w:lang w:val="en-GB"/>
        </w:rPr>
        <w:t xml:space="preserve"> </w:t>
      </w:r>
      <w:r w:rsidR="0020778B">
        <w:rPr>
          <w:color w:val="0E101A"/>
          <w:lang w:val="en-GB"/>
        </w:rPr>
        <w:t>In</w:t>
      </w:r>
      <w:r w:rsidR="006A2FF7">
        <w:rPr>
          <w:color w:val="0E101A"/>
          <w:lang w:val="en-GB"/>
        </w:rPr>
        <w:t xml:space="preserve"> the current study</w:t>
      </w:r>
      <w:r w:rsidR="002A6110">
        <w:rPr>
          <w:color w:val="0E101A"/>
          <w:lang w:val="en-GB"/>
        </w:rPr>
        <w:t>,</w:t>
      </w:r>
      <w:r w:rsidR="006A2FF7">
        <w:rPr>
          <w:color w:val="0E101A"/>
          <w:lang w:val="en-GB"/>
        </w:rPr>
        <w:t xml:space="preserve"> we will exclusively focus on cutting</w:t>
      </w:r>
      <w:r w:rsidR="003A61E2">
        <w:rPr>
          <w:color w:val="0E101A"/>
          <w:lang w:val="en-GB"/>
        </w:rPr>
        <w:t xml:space="preserve"> of the skin</w:t>
      </w:r>
      <w:r w:rsidR="006A2FF7">
        <w:rPr>
          <w:color w:val="0E101A"/>
          <w:lang w:val="en-GB"/>
        </w:rPr>
        <w:t xml:space="preserve"> </w:t>
      </w:r>
      <w:r w:rsidR="00054F7C">
        <w:rPr>
          <w:color w:val="0E101A"/>
          <w:lang w:val="en-GB"/>
        </w:rPr>
        <w:t xml:space="preserve">because it is the </w:t>
      </w:r>
      <w:r w:rsidR="00D93E39">
        <w:rPr>
          <w:color w:val="0E101A"/>
          <w:lang w:val="en-GB"/>
        </w:rPr>
        <w:t>most com</w:t>
      </w:r>
      <w:r w:rsidR="00054F7C">
        <w:rPr>
          <w:color w:val="0E101A"/>
          <w:lang w:val="en-GB"/>
        </w:rPr>
        <w:t>mon</w:t>
      </w:r>
      <w:r w:rsidR="0020778B">
        <w:rPr>
          <w:color w:val="0E101A"/>
          <w:lang w:val="en-GB"/>
        </w:rPr>
        <w:t xml:space="preserve"> method</w:t>
      </w:r>
      <w:r w:rsidR="00054F7C">
        <w:rPr>
          <w:color w:val="0E101A"/>
          <w:lang w:val="en-GB"/>
        </w:rPr>
        <w:t xml:space="preserve"> of NSSI</w:t>
      </w:r>
      <w:r w:rsidR="00D93E39">
        <w:rPr>
          <w:color w:val="0E101A"/>
          <w:lang w:val="en-GB"/>
        </w:rPr>
        <w:t xml:space="preserve"> (e.g., </w:t>
      </w:r>
      <w:r w:rsidR="00D93E39">
        <w:rPr>
          <w:lang w:val="en-GB"/>
        </w:rPr>
        <w:t>Nock, &amp; Prinstein, 2004</w:t>
      </w:r>
      <w:r w:rsidR="00054F7C">
        <w:rPr>
          <w:color w:val="0E101A"/>
          <w:lang w:val="en-GB"/>
        </w:rPr>
        <w:t xml:space="preserve">). </w:t>
      </w:r>
      <w:r w:rsidR="00CC3A4F" w:rsidRPr="00CC3A4F">
        <w:rPr>
          <w:color w:val="0E101A"/>
          <w:lang w:val="en-GB"/>
        </w:rPr>
        <w:t xml:space="preserve"> </w:t>
      </w:r>
    </w:p>
    <w:p w14:paraId="14399AC0" w14:textId="6EE5E34B" w:rsidR="00B63A05" w:rsidRDefault="00B63A05" w:rsidP="00B63A05">
      <w:pPr>
        <w:pStyle w:val="Normaalweb"/>
        <w:spacing w:before="0" w:beforeAutospacing="0" w:after="0" w:afterAutospacing="0" w:line="360" w:lineRule="auto"/>
        <w:ind w:firstLine="709"/>
        <w:rPr>
          <w:color w:val="0E101A"/>
          <w:lang w:val="en-GB"/>
        </w:rPr>
      </w:pPr>
    </w:p>
    <w:p w14:paraId="044D98BB" w14:textId="2FE8ECEA" w:rsidR="00B63A05" w:rsidRDefault="00B63A05" w:rsidP="00B63A05">
      <w:pPr>
        <w:pStyle w:val="Normaalweb"/>
        <w:spacing w:before="0" w:beforeAutospacing="0" w:after="0" w:afterAutospacing="0" w:line="360" w:lineRule="auto"/>
        <w:ind w:firstLine="709"/>
        <w:rPr>
          <w:color w:val="0E101A"/>
          <w:lang w:val="en-GB"/>
        </w:rPr>
      </w:pPr>
    </w:p>
    <w:p w14:paraId="15D5A294" w14:textId="3FCACBE0" w:rsidR="00B63A05" w:rsidRDefault="00B63A05" w:rsidP="00B63A05">
      <w:pPr>
        <w:pStyle w:val="Normaalweb"/>
        <w:spacing w:before="0" w:beforeAutospacing="0" w:after="0" w:afterAutospacing="0" w:line="360" w:lineRule="auto"/>
        <w:ind w:firstLine="709"/>
        <w:rPr>
          <w:color w:val="0E101A"/>
          <w:lang w:val="en-GB"/>
        </w:rPr>
      </w:pPr>
    </w:p>
    <w:p w14:paraId="61FC2E7C" w14:textId="22902A48" w:rsidR="00B63A05" w:rsidRDefault="00B63A05" w:rsidP="00B63A05">
      <w:pPr>
        <w:pStyle w:val="Normaalweb"/>
        <w:spacing w:before="0" w:beforeAutospacing="0" w:after="0" w:afterAutospacing="0" w:line="360" w:lineRule="auto"/>
        <w:ind w:firstLine="709"/>
        <w:rPr>
          <w:color w:val="0E101A"/>
          <w:lang w:val="en-GB"/>
        </w:rPr>
      </w:pPr>
    </w:p>
    <w:p w14:paraId="0FB2E0D4" w14:textId="5C67E23B" w:rsidR="00B63A05" w:rsidRDefault="00B63A05" w:rsidP="00B63A05">
      <w:pPr>
        <w:pStyle w:val="Normaalweb"/>
        <w:spacing w:before="0" w:beforeAutospacing="0" w:after="0" w:afterAutospacing="0" w:line="360" w:lineRule="auto"/>
        <w:ind w:firstLine="709"/>
        <w:rPr>
          <w:color w:val="0E101A"/>
          <w:lang w:val="en-GB"/>
        </w:rPr>
      </w:pPr>
    </w:p>
    <w:p w14:paraId="185EDAA3" w14:textId="09F65398" w:rsidR="00B63A05" w:rsidRDefault="00B63A05" w:rsidP="00B63A05">
      <w:pPr>
        <w:pStyle w:val="Normaalweb"/>
        <w:spacing w:before="0" w:beforeAutospacing="0" w:after="0" w:afterAutospacing="0" w:line="360" w:lineRule="auto"/>
        <w:ind w:firstLine="709"/>
        <w:rPr>
          <w:color w:val="0E101A"/>
          <w:lang w:val="en-GB"/>
        </w:rPr>
      </w:pPr>
    </w:p>
    <w:p w14:paraId="49F1A06C" w14:textId="55A41D89" w:rsidR="00B63A05" w:rsidRDefault="00B63A05" w:rsidP="00B63A05">
      <w:pPr>
        <w:pStyle w:val="Normaalweb"/>
        <w:spacing w:before="0" w:beforeAutospacing="0" w:after="0" w:afterAutospacing="0" w:line="360" w:lineRule="auto"/>
        <w:ind w:firstLine="709"/>
        <w:rPr>
          <w:color w:val="0E101A"/>
          <w:lang w:val="en-GB"/>
        </w:rPr>
      </w:pPr>
    </w:p>
    <w:p w14:paraId="140DE37E" w14:textId="73DD20A0" w:rsidR="00B63A05" w:rsidRDefault="00B63A05" w:rsidP="00B63A05">
      <w:pPr>
        <w:pStyle w:val="Normaalweb"/>
        <w:spacing w:before="0" w:beforeAutospacing="0" w:after="0" w:afterAutospacing="0" w:line="360" w:lineRule="auto"/>
        <w:ind w:firstLine="709"/>
        <w:rPr>
          <w:color w:val="0E101A"/>
          <w:lang w:val="en-GB"/>
        </w:rPr>
      </w:pPr>
    </w:p>
    <w:p w14:paraId="0539A1C0" w14:textId="0EFEED8A" w:rsidR="00B63A05" w:rsidRDefault="00B63A05" w:rsidP="00B63A05">
      <w:pPr>
        <w:pStyle w:val="Normaalweb"/>
        <w:spacing w:before="0" w:beforeAutospacing="0" w:after="0" w:afterAutospacing="0" w:line="360" w:lineRule="auto"/>
        <w:ind w:firstLine="709"/>
        <w:rPr>
          <w:color w:val="0E101A"/>
          <w:lang w:val="en-GB"/>
        </w:rPr>
      </w:pPr>
    </w:p>
    <w:p w14:paraId="64EB6FBE" w14:textId="372AB719" w:rsidR="00B63A05" w:rsidRDefault="00B63A05" w:rsidP="00B63A05">
      <w:pPr>
        <w:pStyle w:val="Normaalweb"/>
        <w:spacing w:before="0" w:beforeAutospacing="0" w:after="0" w:afterAutospacing="0" w:line="360" w:lineRule="auto"/>
        <w:ind w:firstLine="709"/>
        <w:rPr>
          <w:color w:val="0E101A"/>
          <w:lang w:val="en-GB"/>
        </w:rPr>
      </w:pPr>
    </w:p>
    <w:p w14:paraId="7CBF0335" w14:textId="46EB133F" w:rsidR="00B63A05" w:rsidRDefault="00B63A05" w:rsidP="00B63A05">
      <w:pPr>
        <w:pStyle w:val="Normaalweb"/>
        <w:spacing w:before="0" w:beforeAutospacing="0" w:after="0" w:afterAutospacing="0" w:line="360" w:lineRule="auto"/>
        <w:ind w:firstLine="709"/>
        <w:rPr>
          <w:color w:val="0E101A"/>
          <w:lang w:val="en-GB"/>
        </w:rPr>
      </w:pPr>
    </w:p>
    <w:p w14:paraId="434E2FA1" w14:textId="298601DD" w:rsidR="00B63A05" w:rsidRDefault="00B63A05" w:rsidP="00B63A05">
      <w:pPr>
        <w:pStyle w:val="Normaalweb"/>
        <w:spacing w:before="0" w:beforeAutospacing="0" w:after="0" w:afterAutospacing="0" w:line="360" w:lineRule="auto"/>
        <w:ind w:firstLine="709"/>
        <w:rPr>
          <w:color w:val="0E101A"/>
          <w:lang w:val="en-GB"/>
        </w:rPr>
      </w:pPr>
    </w:p>
    <w:p w14:paraId="150254FA" w14:textId="1582BE8F" w:rsidR="00B63A05" w:rsidRDefault="00B63A05" w:rsidP="00B63A05">
      <w:pPr>
        <w:pStyle w:val="Normaalweb"/>
        <w:spacing w:before="0" w:beforeAutospacing="0" w:after="0" w:afterAutospacing="0" w:line="360" w:lineRule="auto"/>
        <w:ind w:firstLine="709"/>
        <w:rPr>
          <w:color w:val="0E101A"/>
          <w:lang w:val="en-GB"/>
        </w:rPr>
      </w:pPr>
    </w:p>
    <w:p w14:paraId="53D52F37" w14:textId="348144D2" w:rsidR="00B63A05" w:rsidRDefault="00B63A05" w:rsidP="00B63A05">
      <w:pPr>
        <w:pStyle w:val="Normaalweb"/>
        <w:spacing w:before="0" w:beforeAutospacing="0" w:after="0" w:afterAutospacing="0" w:line="360" w:lineRule="auto"/>
        <w:ind w:firstLine="709"/>
        <w:rPr>
          <w:color w:val="0E101A"/>
          <w:lang w:val="en-GB"/>
        </w:rPr>
      </w:pPr>
    </w:p>
    <w:p w14:paraId="5E39FF15" w14:textId="71FBBDD0" w:rsidR="00B63A05" w:rsidRDefault="00B63A05" w:rsidP="00B63A05">
      <w:pPr>
        <w:pStyle w:val="Normaalweb"/>
        <w:spacing w:before="0" w:beforeAutospacing="0" w:after="0" w:afterAutospacing="0" w:line="360" w:lineRule="auto"/>
        <w:ind w:firstLine="709"/>
        <w:rPr>
          <w:color w:val="0E101A"/>
          <w:lang w:val="en-GB"/>
        </w:rPr>
      </w:pPr>
    </w:p>
    <w:p w14:paraId="61ADD80F" w14:textId="6546AF42" w:rsidR="00B63A05" w:rsidRDefault="00B63A05" w:rsidP="00B63A05">
      <w:pPr>
        <w:pStyle w:val="Normaalweb"/>
        <w:spacing w:before="0" w:beforeAutospacing="0" w:after="0" w:afterAutospacing="0" w:line="360" w:lineRule="auto"/>
        <w:ind w:firstLine="709"/>
        <w:rPr>
          <w:color w:val="0E101A"/>
          <w:lang w:val="en-GB"/>
        </w:rPr>
      </w:pPr>
    </w:p>
    <w:p w14:paraId="63BE61D3" w14:textId="19BBB63E" w:rsidR="00B63A05" w:rsidRDefault="00B63A05" w:rsidP="00B63A05">
      <w:pPr>
        <w:pStyle w:val="Normaalweb"/>
        <w:spacing w:before="0" w:beforeAutospacing="0" w:after="0" w:afterAutospacing="0" w:line="360" w:lineRule="auto"/>
        <w:ind w:firstLine="709"/>
        <w:rPr>
          <w:color w:val="0E101A"/>
          <w:lang w:val="en-GB"/>
        </w:rPr>
      </w:pPr>
    </w:p>
    <w:p w14:paraId="514B3327" w14:textId="4CF635B6" w:rsidR="00B63A05" w:rsidRDefault="00B63A05" w:rsidP="00B63A05">
      <w:pPr>
        <w:pStyle w:val="Normaalweb"/>
        <w:spacing w:before="0" w:beforeAutospacing="0" w:after="0" w:afterAutospacing="0" w:line="360" w:lineRule="auto"/>
        <w:ind w:firstLine="709"/>
        <w:rPr>
          <w:color w:val="0E101A"/>
          <w:lang w:val="en-GB"/>
        </w:rPr>
      </w:pPr>
    </w:p>
    <w:p w14:paraId="1C775917" w14:textId="29A19642" w:rsidR="00B63A05" w:rsidRDefault="00B63A05" w:rsidP="00B63A05">
      <w:pPr>
        <w:pStyle w:val="Normaalweb"/>
        <w:spacing w:before="0" w:beforeAutospacing="0" w:after="0" w:afterAutospacing="0" w:line="360" w:lineRule="auto"/>
        <w:ind w:firstLine="709"/>
        <w:rPr>
          <w:color w:val="0E101A"/>
          <w:lang w:val="en-GB"/>
        </w:rPr>
      </w:pPr>
    </w:p>
    <w:p w14:paraId="370E1FB8" w14:textId="33E3A319" w:rsidR="00B63A05" w:rsidRDefault="00B63A05" w:rsidP="00B63A05">
      <w:pPr>
        <w:pStyle w:val="Normaalweb"/>
        <w:spacing w:before="0" w:beforeAutospacing="0" w:after="0" w:afterAutospacing="0" w:line="360" w:lineRule="auto"/>
        <w:ind w:firstLine="709"/>
        <w:rPr>
          <w:color w:val="0E101A"/>
          <w:lang w:val="en-GB"/>
        </w:rPr>
      </w:pPr>
    </w:p>
    <w:p w14:paraId="3EF4B3F9" w14:textId="4CA932A5" w:rsidR="00B63A05" w:rsidRDefault="00B63A05" w:rsidP="00B63A05">
      <w:pPr>
        <w:pStyle w:val="Normaalweb"/>
        <w:spacing w:before="0" w:beforeAutospacing="0" w:after="0" w:afterAutospacing="0" w:line="360" w:lineRule="auto"/>
        <w:ind w:firstLine="709"/>
        <w:rPr>
          <w:color w:val="0E101A"/>
          <w:lang w:val="en-GB"/>
        </w:rPr>
      </w:pPr>
    </w:p>
    <w:p w14:paraId="1208BFF5" w14:textId="74B8CF93" w:rsidR="00B63A05" w:rsidRDefault="00B63A05" w:rsidP="00B63A05">
      <w:pPr>
        <w:pStyle w:val="Normaalweb"/>
        <w:spacing w:before="0" w:beforeAutospacing="0" w:after="0" w:afterAutospacing="0" w:line="360" w:lineRule="auto"/>
        <w:ind w:firstLine="709"/>
        <w:rPr>
          <w:color w:val="0E101A"/>
          <w:lang w:val="en-GB"/>
        </w:rPr>
      </w:pPr>
    </w:p>
    <w:p w14:paraId="710035BB" w14:textId="301A468A" w:rsidR="00B63A05" w:rsidRDefault="00B63A05" w:rsidP="00B63A05">
      <w:pPr>
        <w:pStyle w:val="Normaalweb"/>
        <w:spacing w:before="0" w:beforeAutospacing="0" w:after="0" w:afterAutospacing="0" w:line="360" w:lineRule="auto"/>
        <w:ind w:firstLine="709"/>
        <w:rPr>
          <w:color w:val="0E101A"/>
          <w:lang w:val="en-GB"/>
        </w:rPr>
      </w:pPr>
    </w:p>
    <w:p w14:paraId="7588CF29" w14:textId="2FE36DDE" w:rsidR="00B63A05" w:rsidRPr="00CF2D65" w:rsidRDefault="00B63A05" w:rsidP="00B63A05">
      <w:pPr>
        <w:pStyle w:val="Normaalweb"/>
        <w:spacing w:before="0" w:beforeAutospacing="0" w:after="0" w:afterAutospacing="0" w:line="360" w:lineRule="auto"/>
        <w:rPr>
          <w:color w:val="0E101A"/>
          <w:lang w:val="en-GB"/>
        </w:rPr>
      </w:pPr>
    </w:p>
    <w:p w14:paraId="311940AA" w14:textId="77777777" w:rsidR="005300A4" w:rsidRPr="00CE556E" w:rsidRDefault="00CE556E" w:rsidP="00CE556E">
      <w:pPr>
        <w:spacing w:line="360" w:lineRule="auto"/>
        <w:jc w:val="center"/>
        <w:rPr>
          <w:rFonts w:ascii="Times New Roman" w:hAnsi="Times New Roman" w:cs="Times New Roman"/>
          <w:b/>
          <w:sz w:val="24"/>
          <w:szCs w:val="20"/>
          <w:lang w:val="en-GB"/>
        </w:rPr>
      </w:pPr>
      <w:r w:rsidRPr="00CE556E">
        <w:rPr>
          <w:rFonts w:ascii="Times New Roman" w:hAnsi="Times New Roman" w:cs="Times New Roman"/>
          <w:b/>
          <w:sz w:val="24"/>
          <w:szCs w:val="20"/>
          <w:lang w:val="en-GB"/>
        </w:rPr>
        <w:lastRenderedPageBreak/>
        <w:t>References</w:t>
      </w:r>
    </w:p>
    <w:p w14:paraId="187511F9" w14:textId="62FEED75" w:rsidR="00E72621" w:rsidRPr="00E72621" w:rsidRDefault="00E72621" w:rsidP="00037AAC">
      <w:pPr>
        <w:spacing w:line="360" w:lineRule="auto"/>
        <w:ind w:left="709" w:hanging="709"/>
        <w:rPr>
          <w:rFonts w:ascii="Times New Roman" w:hAnsi="Times New Roman" w:cs="Times New Roman"/>
          <w:sz w:val="28"/>
          <w:lang w:val="en-GB"/>
        </w:rPr>
      </w:pPr>
      <w:r w:rsidRPr="00E72621">
        <w:rPr>
          <w:rFonts w:ascii="Times New Roman" w:hAnsi="Times New Roman" w:cs="Times New Roman"/>
          <w:sz w:val="24"/>
          <w:lang w:val="en-GB"/>
        </w:rPr>
        <w:t xml:space="preserve">Agosta, S., &amp; Sartori, G. (2013). The autobiographical IAT: a review. </w:t>
      </w:r>
      <w:r w:rsidRPr="0020778B">
        <w:rPr>
          <w:rFonts w:ascii="Times New Roman" w:hAnsi="Times New Roman" w:cs="Times New Roman"/>
          <w:i/>
          <w:iCs/>
          <w:sz w:val="24"/>
          <w:lang w:val="en-GB"/>
        </w:rPr>
        <w:t>Frontiers in psychology</w:t>
      </w:r>
      <w:r w:rsidRPr="0020778B">
        <w:rPr>
          <w:rFonts w:ascii="Times New Roman" w:hAnsi="Times New Roman" w:cs="Times New Roman"/>
          <w:sz w:val="24"/>
          <w:lang w:val="en-GB"/>
        </w:rPr>
        <w:t xml:space="preserve">, </w:t>
      </w:r>
      <w:r w:rsidRPr="0020778B">
        <w:rPr>
          <w:rFonts w:ascii="Times New Roman" w:hAnsi="Times New Roman" w:cs="Times New Roman"/>
          <w:i/>
          <w:iCs/>
          <w:sz w:val="24"/>
          <w:lang w:val="en-GB"/>
        </w:rPr>
        <w:t>4</w:t>
      </w:r>
      <w:r w:rsidRPr="0020778B">
        <w:rPr>
          <w:rFonts w:ascii="Times New Roman" w:hAnsi="Times New Roman" w:cs="Times New Roman"/>
          <w:sz w:val="24"/>
          <w:lang w:val="en-GB"/>
        </w:rPr>
        <w:t>, 519.</w:t>
      </w:r>
    </w:p>
    <w:p w14:paraId="30D29399" w14:textId="49B74F96" w:rsidR="00037AAC" w:rsidRPr="00037AAC" w:rsidRDefault="00037AAC" w:rsidP="00037AAC">
      <w:pPr>
        <w:spacing w:line="360" w:lineRule="auto"/>
        <w:ind w:left="709" w:hanging="709"/>
        <w:rPr>
          <w:rFonts w:ascii="Times New Roman" w:hAnsi="Times New Roman" w:cs="Times New Roman"/>
          <w:sz w:val="24"/>
          <w:lang w:val="en-GB"/>
        </w:rPr>
      </w:pPr>
      <w:r w:rsidRPr="00037AAC">
        <w:rPr>
          <w:rFonts w:ascii="Times New Roman" w:hAnsi="Times New Roman" w:cs="Times New Roman"/>
          <w:sz w:val="24"/>
          <w:lang w:val="en-GB"/>
        </w:rPr>
        <w:t xml:space="preserve">Asarnow, J. R., Porta, G., Spirito, A., Emslie, G., Clarke, G., Wagner, K. D., ... &amp; Mayes, T. (2011). Suicide attempts and nonsuicidal self-injury in the treatment of resistant depression in adolescents: findings from the TORDIA study. </w:t>
      </w:r>
      <w:r w:rsidRPr="00037AAC">
        <w:rPr>
          <w:rFonts w:ascii="Times New Roman" w:hAnsi="Times New Roman" w:cs="Times New Roman"/>
          <w:i/>
          <w:iCs/>
          <w:sz w:val="24"/>
          <w:lang w:val="en-GB"/>
        </w:rPr>
        <w:t>Journal of the American Academy of Child &amp; Adolescent Psychiatry</w:t>
      </w:r>
      <w:r w:rsidRPr="00037AAC">
        <w:rPr>
          <w:rFonts w:ascii="Times New Roman" w:hAnsi="Times New Roman" w:cs="Times New Roman"/>
          <w:sz w:val="24"/>
          <w:lang w:val="en-GB"/>
        </w:rPr>
        <w:t xml:space="preserve">, </w:t>
      </w:r>
      <w:r w:rsidRPr="00037AAC">
        <w:rPr>
          <w:rFonts w:ascii="Times New Roman" w:hAnsi="Times New Roman" w:cs="Times New Roman"/>
          <w:i/>
          <w:iCs/>
          <w:sz w:val="24"/>
          <w:lang w:val="en-GB"/>
        </w:rPr>
        <w:t>50</w:t>
      </w:r>
      <w:r w:rsidRPr="00037AAC">
        <w:rPr>
          <w:rFonts w:ascii="Times New Roman" w:hAnsi="Times New Roman" w:cs="Times New Roman"/>
          <w:sz w:val="24"/>
          <w:lang w:val="en-GB"/>
        </w:rPr>
        <w:t>(8), 772-781.</w:t>
      </w:r>
    </w:p>
    <w:p w14:paraId="4DD7C903" w14:textId="1B5A098B" w:rsidR="00CF2D65" w:rsidRPr="00CF2D65" w:rsidRDefault="00CF2D65" w:rsidP="00037AAC">
      <w:pPr>
        <w:spacing w:line="360" w:lineRule="auto"/>
        <w:ind w:left="709" w:hanging="709"/>
        <w:rPr>
          <w:rFonts w:ascii="Times New Roman" w:hAnsi="Times New Roman" w:cs="Times New Roman"/>
          <w:sz w:val="28"/>
          <w:szCs w:val="24"/>
          <w:lang w:val="en-GB"/>
        </w:rPr>
      </w:pPr>
      <w:r w:rsidRPr="00CF2D65">
        <w:rPr>
          <w:rFonts w:ascii="Times New Roman" w:hAnsi="Times New Roman" w:cs="Times New Roman"/>
          <w:sz w:val="24"/>
          <w:lang w:val="en-GB"/>
        </w:rPr>
        <w:t xml:space="preserve">Cha, C. B., Augenstein, T. M., Frost, K. H., Gallagher, K., D’Angelo, E. J., &amp; Nock, M. K. (2016). Using implicit and explicit measures to predict nonsuicidal self-injury among adolescent inpatients. </w:t>
      </w:r>
      <w:r w:rsidRPr="00CF2D65">
        <w:rPr>
          <w:rFonts w:ascii="Times New Roman" w:hAnsi="Times New Roman" w:cs="Times New Roman"/>
          <w:i/>
          <w:iCs/>
          <w:sz w:val="24"/>
          <w:lang w:val="en-GB"/>
        </w:rPr>
        <w:t>Journal of the American Academy of Child &amp; Adolescent Psychiatry</w:t>
      </w:r>
      <w:r w:rsidRPr="00CF2D65">
        <w:rPr>
          <w:rFonts w:ascii="Times New Roman" w:hAnsi="Times New Roman" w:cs="Times New Roman"/>
          <w:sz w:val="24"/>
          <w:lang w:val="en-GB"/>
        </w:rPr>
        <w:t xml:space="preserve">, </w:t>
      </w:r>
      <w:r w:rsidRPr="00CF2D65">
        <w:rPr>
          <w:rFonts w:ascii="Times New Roman" w:hAnsi="Times New Roman" w:cs="Times New Roman"/>
          <w:i/>
          <w:iCs/>
          <w:sz w:val="24"/>
          <w:lang w:val="en-GB"/>
        </w:rPr>
        <w:t>55</w:t>
      </w:r>
      <w:r w:rsidRPr="00CF2D65">
        <w:rPr>
          <w:rFonts w:ascii="Times New Roman" w:hAnsi="Times New Roman" w:cs="Times New Roman"/>
          <w:sz w:val="24"/>
          <w:lang w:val="en-GB"/>
        </w:rPr>
        <w:t>(1), 62-68.</w:t>
      </w:r>
    </w:p>
    <w:p w14:paraId="24CE0F9B" w14:textId="2CEA4FA6" w:rsidR="00E72621" w:rsidRPr="00E72621" w:rsidRDefault="00E72621" w:rsidP="00037AAC">
      <w:pPr>
        <w:spacing w:line="360" w:lineRule="auto"/>
        <w:ind w:left="709" w:hanging="709"/>
        <w:rPr>
          <w:rFonts w:ascii="Times New Roman" w:hAnsi="Times New Roman" w:cs="Times New Roman"/>
          <w:sz w:val="28"/>
          <w:lang w:val="en-GB"/>
        </w:rPr>
      </w:pPr>
      <w:r w:rsidRPr="00E72621">
        <w:rPr>
          <w:rFonts w:ascii="Times New Roman" w:hAnsi="Times New Roman" w:cs="Times New Roman"/>
          <w:sz w:val="24"/>
          <w:lang w:val="en-GB"/>
        </w:rPr>
        <w:t xml:space="preserve">Cha, C. B., Glenn, J. J., Deming, C. A., D'Angelo, E. J., Hooley, J. M., Teachman, B. A., &amp; Nock, M. K. (2016). Examining potential iatrogenic effects of viewing suicide and self-injury stimuli. </w:t>
      </w:r>
      <w:r w:rsidRPr="00E72621">
        <w:rPr>
          <w:rFonts w:ascii="Times New Roman" w:hAnsi="Times New Roman" w:cs="Times New Roman"/>
          <w:i/>
          <w:iCs/>
          <w:sz w:val="24"/>
          <w:lang w:val="en-GB"/>
        </w:rPr>
        <w:t>Psychological assessment</w:t>
      </w:r>
      <w:r w:rsidRPr="00E72621">
        <w:rPr>
          <w:rFonts w:ascii="Times New Roman" w:hAnsi="Times New Roman" w:cs="Times New Roman"/>
          <w:sz w:val="24"/>
          <w:lang w:val="en-GB"/>
        </w:rPr>
        <w:t xml:space="preserve">, </w:t>
      </w:r>
      <w:r w:rsidRPr="00E72621">
        <w:rPr>
          <w:rFonts w:ascii="Times New Roman" w:hAnsi="Times New Roman" w:cs="Times New Roman"/>
          <w:i/>
          <w:iCs/>
          <w:sz w:val="24"/>
          <w:lang w:val="en-GB"/>
        </w:rPr>
        <w:t>28</w:t>
      </w:r>
      <w:r w:rsidRPr="00E72621">
        <w:rPr>
          <w:rFonts w:ascii="Times New Roman" w:hAnsi="Times New Roman" w:cs="Times New Roman"/>
          <w:sz w:val="24"/>
          <w:lang w:val="en-GB"/>
        </w:rPr>
        <w:t>(11), 1510.</w:t>
      </w:r>
    </w:p>
    <w:p w14:paraId="7BAC1B41" w14:textId="07B1748F" w:rsidR="001656C9" w:rsidRPr="00A945E0" w:rsidRDefault="001656C9" w:rsidP="00037AAC">
      <w:pPr>
        <w:spacing w:line="360" w:lineRule="auto"/>
        <w:ind w:left="709" w:hanging="709"/>
        <w:rPr>
          <w:rFonts w:ascii="Times New Roman" w:hAnsi="Times New Roman" w:cs="Times New Roman"/>
          <w:sz w:val="28"/>
          <w:lang w:val="en-GB"/>
        </w:rPr>
      </w:pPr>
      <w:r w:rsidRPr="00A945E0">
        <w:rPr>
          <w:rFonts w:ascii="Times New Roman" w:hAnsi="Times New Roman" w:cs="Times New Roman"/>
          <w:sz w:val="24"/>
          <w:lang w:val="en-GB"/>
        </w:rPr>
        <w:t xml:space="preserve">DeCou, C. R., &amp; Schumann, M. E. (2018). On the iatrogenic risk of assessing suicidality: A meta‐analysis. </w:t>
      </w:r>
      <w:r w:rsidRPr="00A945E0">
        <w:rPr>
          <w:rFonts w:ascii="Times New Roman" w:hAnsi="Times New Roman" w:cs="Times New Roman"/>
          <w:i/>
          <w:iCs/>
          <w:sz w:val="24"/>
          <w:lang w:val="en-GB"/>
        </w:rPr>
        <w:t>Suicide and Life‐Threatening Behavior</w:t>
      </w:r>
      <w:r w:rsidRPr="00A945E0">
        <w:rPr>
          <w:rFonts w:ascii="Times New Roman" w:hAnsi="Times New Roman" w:cs="Times New Roman"/>
          <w:sz w:val="24"/>
          <w:lang w:val="en-GB"/>
        </w:rPr>
        <w:t xml:space="preserve">, </w:t>
      </w:r>
      <w:r w:rsidRPr="00A945E0">
        <w:rPr>
          <w:rFonts w:ascii="Times New Roman" w:hAnsi="Times New Roman" w:cs="Times New Roman"/>
          <w:i/>
          <w:iCs/>
          <w:sz w:val="24"/>
          <w:lang w:val="en-GB"/>
        </w:rPr>
        <w:t>48</w:t>
      </w:r>
      <w:r w:rsidRPr="00A945E0">
        <w:rPr>
          <w:rFonts w:ascii="Times New Roman" w:hAnsi="Times New Roman" w:cs="Times New Roman"/>
          <w:sz w:val="24"/>
          <w:lang w:val="en-GB"/>
        </w:rPr>
        <w:t>(5), 531-543.</w:t>
      </w:r>
    </w:p>
    <w:p w14:paraId="5A7F20CD" w14:textId="413725A6" w:rsidR="00E72621" w:rsidRPr="00E72621" w:rsidRDefault="00E72621" w:rsidP="00037AAC">
      <w:pPr>
        <w:spacing w:line="360" w:lineRule="auto"/>
        <w:ind w:left="709" w:hanging="709"/>
        <w:rPr>
          <w:rFonts w:ascii="Times New Roman" w:hAnsi="Times New Roman" w:cs="Times New Roman"/>
          <w:sz w:val="28"/>
          <w:lang w:val="en-GB"/>
        </w:rPr>
      </w:pPr>
      <w:r w:rsidRPr="00E72621">
        <w:rPr>
          <w:rFonts w:ascii="Times New Roman" w:hAnsi="Times New Roman" w:cs="Times New Roman"/>
          <w:sz w:val="24"/>
          <w:lang w:val="en-GB"/>
        </w:rPr>
        <w:t xml:space="preserve">Fox, K. R., Franklin, J. C., Ribeiro, J. D., Kleiman, E. M., Bentley, K. H., &amp; Nock, M. K. (2015). Meta-analysis of risk factors for nonsuicidal self-injury. </w:t>
      </w:r>
      <w:r w:rsidRPr="00E72621">
        <w:rPr>
          <w:rFonts w:ascii="Times New Roman" w:hAnsi="Times New Roman" w:cs="Times New Roman"/>
          <w:i/>
          <w:iCs/>
          <w:sz w:val="24"/>
          <w:lang w:val="en-GB"/>
        </w:rPr>
        <w:t>Clinical psychology review</w:t>
      </w:r>
      <w:r w:rsidRPr="00E72621">
        <w:rPr>
          <w:rFonts w:ascii="Times New Roman" w:hAnsi="Times New Roman" w:cs="Times New Roman"/>
          <w:sz w:val="24"/>
          <w:lang w:val="en-GB"/>
        </w:rPr>
        <w:t xml:space="preserve">, </w:t>
      </w:r>
      <w:r w:rsidRPr="00E72621">
        <w:rPr>
          <w:rFonts w:ascii="Times New Roman" w:hAnsi="Times New Roman" w:cs="Times New Roman"/>
          <w:i/>
          <w:iCs/>
          <w:sz w:val="24"/>
          <w:lang w:val="en-GB"/>
        </w:rPr>
        <w:t>42</w:t>
      </w:r>
      <w:r w:rsidRPr="00E72621">
        <w:rPr>
          <w:rFonts w:ascii="Times New Roman" w:hAnsi="Times New Roman" w:cs="Times New Roman"/>
          <w:sz w:val="24"/>
          <w:lang w:val="en-GB"/>
        </w:rPr>
        <w:t>, 156-167.</w:t>
      </w:r>
    </w:p>
    <w:p w14:paraId="6D0C792E" w14:textId="3DAABF71" w:rsidR="00CF2D65" w:rsidRPr="00CF2D65" w:rsidRDefault="00CF2D65" w:rsidP="00037AAC">
      <w:pPr>
        <w:spacing w:line="360" w:lineRule="auto"/>
        <w:ind w:left="709" w:hanging="709"/>
        <w:rPr>
          <w:rFonts w:ascii="Times New Roman" w:hAnsi="Times New Roman" w:cs="Times New Roman"/>
          <w:sz w:val="28"/>
          <w:szCs w:val="24"/>
          <w:lang w:val="en-GB"/>
        </w:rPr>
      </w:pPr>
      <w:r w:rsidRPr="00CF2D65">
        <w:rPr>
          <w:rFonts w:ascii="Times New Roman" w:hAnsi="Times New Roman" w:cs="Times New Roman"/>
          <w:sz w:val="24"/>
          <w:lang w:val="en-GB"/>
        </w:rPr>
        <w:t xml:space="preserve">Glenn, J. J., Werntz, A. J., Slama, S. J., Steinman, S. A., Teachman, B. A., &amp; Nock, M. K. (2017). Suicide and self-injury-related implicit cognition: A large-scale examination and replication. </w:t>
      </w:r>
      <w:r w:rsidRPr="00CF2D65">
        <w:rPr>
          <w:rFonts w:ascii="Times New Roman" w:hAnsi="Times New Roman" w:cs="Times New Roman"/>
          <w:i/>
          <w:iCs/>
          <w:sz w:val="24"/>
          <w:lang w:val="en-GB"/>
        </w:rPr>
        <w:t>Journal of Abnormal Psychology</w:t>
      </w:r>
      <w:r w:rsidRPr="00CF2D65">
        <w:rPr>
          <w:rFonts w:ascii="Times New Roman" w:hAnsi="Times New Roman" w:cs="Times New Roman"/>
          <w:sz w:val="24"/>
          <w:lang w:val="en-GB"/>
        </w:rPr>
        <w:t xml:space="preserve">, </w:t>
      </w:r>
      <w:r w:rsidRPr="00CF2D65">
        <w:rPr>
          <w:rFonts w:ascii="Times New Roman" w:hAnsi="Times New Roman" w:cs="Times New Roman"/>
          <w:i/>
          <w:iCs/>
          <w:sz w:val="24"/>
          <w:lang w:val="en-GB"/>
        </w:rPr>
        <w:t>126</w:t>
      </w:r>
      <w:r w:rsidRPr="00CF2D65">
        <w:rPr>
          <w:rFonts w:ascii="Times New Roman" w:hAnsi="Times New Roman" w:cs="Times New Roman"/>
          <w:sz w:val="24"/>
          <w:lang w:val="en-GB"/>
        </w:rPr>
        <w:t>(2), 199.</w:t>
      </w:r>
    </w:p>
    <w:p w14:paraId="4D9642D4" w14:textId="4FD628B7" w:rsidR="00E72621" w:rsidRPr="00E72621" w:rsidRDefault="00E72621" w:rsidP="00CF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09" w:hanging="709"/>
        <w:rPr>
          <w:rStyle w:val="selectable"/>
          <w:rFonts w:ascii="Times New Roman" w:hAnsi="Times New Roman" w:cs="Times New Roman"/>
          <w:color w:val="000000"/>
          <w:sz w:val="28"/>
          <w:lang w:val="en-US"/>
        </w:rPr>
      </w:pPr>
      <w:r w:rsidRPr="00E72621">
        <w:rPr>
          <w:rFonts w:ascii="Times New Roman" w:hAnsi="Times New Roman" w:cs="Times New Roman"/>
          <w:sz w:val="24"/>
          <w:lang w:val="en-GB"/>
        </w:rPr>
        <w:t xml:space="preserve">Gould, M., Jamieson, P., &amp; Romer, D. (2003). Media contagion and suicide among the young. </w:t>
      </w:r>
      <w:r w:rsidRPr="0020778B">
        <w:rPr>
          <w:rFonts w:ascii="Times New Roman" w:hAnsi="Times New Roman" w:cs="Times New Roman"/>
          <w:i/>
          <w:iCs/>
          <w:sz w:val="24"/>
          <w:lang w:val="en-GB"/>
        </w:rPr>
        <w:t>American Behavioral Scientist</w:t>
      </w:r>
      <w:r w:rsidRPr="0020778B">
        <w:rPr>
          <w:rFonts w:ascii="Times New Roman" w:hAnsi="Times New Roman" w:cs="Times New Roman"/>
          <w:sz w:val="24"/>
          <w:lang w:val="en-GB"/>
        </w:rPr>
        <w:t xml:space="preserve">, </w:t>
      </w:r>
      <w:r w:rsidRPr="0020778B">
        <w:rPr>
          <w:rFonts w:ascii="Times New Roman" w:hAnsi="Times New Roman" w:cs="Times New Roman"/>
          <w:i/>
          <w:iCs/>
          <w:sz w:val="24"/>
          <w:lang w:val="en-GB"/>
        </w:rPr>
        <w:t>46</w:t>
      </w:r>
      <w:r w:rsidRPr="0020778B">
        <w:rPr>
          <w:rFonts w:ascii="Times New Roman" w:hAnsi="Times New Roman" w:cs="Times New Roman"/>
          <w:sz w:val="24"/>
          <w:lang w:val="en-GB"/>
        </w:rPr>
        <w:t>(9), 1269-1284.</w:t>
      </w:r>
    </w:p>
    <w:p w14:paraId="62E3C68D" w14:textId="6D7C1DF5" w:rsidR="00CF2D65" w:rsidRDefault="00CF2D65" w:rsidP="00CF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09" w:hanging="709"/>
        <w:rPr>
          <w:rStyle w:val="selectable"/>
          <w:rFonts w:ascii="Times New Roman" w:hAnsi="Times New Roman" w:cs="Times New Roman"/>
          <w:color w:val="000000"/>
          <w:sz w:val="24"/>
          <w:lang w:val="en-US"/>
        </w:rPr>
      </w:pPr>
      <w:r w:rsidRPr="0020778B">
        <w:rPr>
          <w:rStyle w:val="selectable"/>
          <w:rFonts w:ascii="Times New Roman" w:hAnsi="Times New Roman" w:cs="Times New Roman"/>
          <w:color w:val="000000"/>
          <w:sz w:val="24"/>
          <w:lang w:val="en-GB"/>
        </w:rPr>
        <w:t xml:space="preserve">Greenwald, A., McGhee, D., &amp; Schwartz, J. (1998). </w:t>
      </w:r>
      <w:r w:rsidRPr="00E33D75">
        <w:rPr>
          <w:rStyle w:val="selectable"/>
          <w:rFonts w:ascii="Times New Roman" w:hAnsi="Times New Roman" w:cs="Times New Roman"/>
          <w:color w:val="000000"/>
          <w:sz w:val="24"/>
          <w:lang w:val="en-US"/>
        </w:rPr>
        <w:t xml:space="preserve">Measuring individual differences in implicit cognition: The implicit association test. </w:t>
      </w:r>
      <w:r w:rsidRPr="00CF2D65">
        <w:rPr>
          <w:rStyle w:val="selectable"/>
          <w:rFonts w:ascii="Times New Roman" w:hAnsi="Times New Roman" w:cs="Times New Roman"/>
          <w:i/>
          <w:color w:val="000000"/>
          <w:sz w:val="24"/>
          <w:lang w:val="en-US"/>
        </w:rPr>
        <w:t>Journal Of Personality And Social Psychology</w:t>
      </w:r>
      <w:r w:rsidRPr="00341891">
        <w:rPr>
          <w:rStyle w:val="selectable"/>
          <w:rFonts w:ascii="Times New Roman" w:hAnsi="Times New Roman" w:cs="Times New Roman"/>
          <w:color w:val="000000"/>
          <w:sz w:val="24"/>
          <w:lang w:val="en-US"/>
        </w:rPr>
        <w:t xml:space="preserve">, </w:t>
      </w:r>
      <w:r w:rsidRPr="00CF2D65">
        <w:rPr>
          <w:rStyle w:val="selectable"/>
          <w:rFonts w:ascii="Times New Roman" w:hAnsi="Times New Roman" w:cs="Times New Roman"/>
          <w:i/>
          <w:color w:val="000000"/>
          <w:sz w:val="24"/>
          <w:lang w:val="en-US"/>
        </w:rPr>
        <w:t>74</w:t>
      </w:r>
      <w:r w:rsidRPr="00341891">
        <w:rPr>
          <w:rStyle w:val="selectable"/>
          <w:rFonts w:ascii="Times New Roman" w:hAnsi="Times New Roman" w:cs="Times New Roman"/>
          <w:color w:val="000000"/>
          <w:sz w:val="24"/>
          <w:lang w:val="en-US"/>
        </w:rPr>
        <w:t xml:space="preserve">(6), 1464-1480. </w:t>
      </w:r>
      <w:r w:rsidRPr="0031353A">
        <w:rPr>
          <w:rStyle w:val="Zwaar"/>
          <w:lang w:val="en-US"/>
        </w:rPr>
        <w:t xml:space="preserve"> </w:t>
      </w:r>
    </w:p>
    <w:p w14:paraId="1E9587A2" w14:textId="77777777" w:rsidR="00CF2D65" w:rsidRPr="00CF2D65" w:rsidRDefault="00CF2D65" w:rsidP="00CF2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709" w:hanging="709"/>
        <w:rPr>
          <w:rFonts w:ascii="Times New Roman" w:hAnsi="Times New Roman" w:cs="Times New Roman"/>
          <w:color w:val="000000"/>
          <w:sz w:val="24"/>
          <w:lang w:val="en-US"/>
        </w:rPr>
      </w:pPr>
    </w:p>
    <w:p w14:paraId="4C07D5D5" w14:textId="55A62B9B" w:rsidR="00B34DB1" w:rsidRPr="00B34DB1" w:rsidRDefault="00B34DB1" w:rsidP="00037AAC">
      <w:pPr>
        <w:spacing w:line="360" w:lineRule="auto"/>
        <w:ind w:left="709" w:hanging="709"/>
        <w:rPr>
          <w:rFonts w:ascii="Times New Roman" w:hAnsi="Times New Roman" w:cs="Times New Roman"/>
          <w:sz w:val="24"/>
          <w:szCs w:val="24"/>
          <w:lang w:val="en-GB"/>
        </w:rPr>
      </w:pPr>
      <w:r w:rsidRPr="00B34DB1">
        <w:rPr>
          <w:rFonts w:ascii="Times New Roman" w:hAnsi="Times New Roman" w:cs="Times New Roman"/>
          <w:sz w:val="24"/>
          <w:szCs w:val="24"/>
          <w:lang w:val="en-GB"/>
        </w:rPr>
        <w:t xml:space="preserve">Kress, V., &amp; Hoffman, R. (2008). Non-suicidal self-injury and motivational interviewing: Enhancing readiness for change. </w:t>
      </w:r>
      <w:r w:rsidRPr="00CF2D65">
        <w:rPr>
          <w:rFonts w:ascii="Times New Roman" w:hAnsi="Times New Roman" w:cs="Times New Roman"/>
          <w:i/>
          <w:iCs/>
          <w:sz w:val="24"/>
          <w:szCs w:val="24"/>
          <w:lang w:val="en-GB"/>
        </w:rPr>
        <w:t>Journal of Mental Health Counseling</w:t>
      </w:r>
      <w:r w:rsidRPr="00CF2D65">
        <w:rPr>
          <w:rFonts w:ascii="Times New Roman" w:hAnsi="Times New Roman" w:cs="Times New Roman"/>
          <w:sz w:val="24"/>
          <w:szCs w:val="24"/>
          <w:lang w:val="en-GB"/>
        </w:rPr>
        <w:t xml:space="preserve">, </w:t>
      </w:r>
      <w:r w:rsidRPr="00CF2D65">
        <w:rPr>
          <w:rFonts w:ascii="Times New Roman" w:hAnsi="Times New Roman" w:cs="Times New Roman"/>
          <w:i/>
          <w:iCs/>
          <w:sz w:val="24"/>
          <w:szCs w:val="24"/>
          <w:lang w:val="en-GB"/>
        </w:rPr>
        <w:t>30</w:t>
      </w:r>
      <w:r w:rsidRPr="00CF2D65">
        <w:rPr>
          <w:rFonts w:ascii="Times New Roman" w:hAnsi="Times New Roman" w:cs="Times New Roman"/>
          <w:sz w:val="24"/>
          <w:szCs w:val="24"/>
          <w:lang w:val="en-GB"/>
        </w:rPr>
        <w:t>(4), 311-329.</w:t>
      </w:r>
    </w:p>
    <w:p w14:paraId="35B879B3" w14:textId="712CC6AE" w:rsidR="00CF2D65" w:rsidRDefault="00CF2D65" w:rsidP="00CF2D65">
      <w:pPr>
        <w:spacing w:line="480" w:lineRule="auto"/>
        <w:ind w:left="709" w:hanging="709"/>
        <w:rPr>
          <w:rFonts w:ascii="Times New Roman" w:hAnsi="Times New Roman" w:cs="Times New Roman"/>
          <w:sz w:val="24"/>
          <w:lang w:val="en-GB"/>
        </w:rPr>
      </w:pPr>
      <w:r w:rsidRPr="003D2197">
        <w:rPr>
          <w:rFonts w:ascii="Times New Roman" w:hAnsi="Times New Roman" w:cs="Times New Roman"/>
          <w:sz w:val="24"/>
          <w:lang w:val="en-GB"/>
        </w:rPr>
        <w:lastRenderedPageBreak/>
        <w:t>Moors, A. (2016</w:t>
      </w:r>
      <w:r>
        <w:rPr>
          <w:rFonts w:ascii="Times New Roman" w:hAnsi="Times New Roman" w:cs="Times New Roman"/>
          <w:sz w:val="24"/>
          <w:lang w:val="en-GB"/>
        </w:rPr>
        <w:t>). Automaticity: Componential, causal, and mechanistic e</w:t>
      </w:r>
      <w:r w:rsidRPr="003D2197">
        <w:rPr>
          <w:rFonts w:ascii="Times New Roman" w:hAnsi="Times New Roman" w:cs="Times New Roman"/>
          <w:sz w:val="24"/>
          <w:lang w:val="en-GB"/>
        </w:rPr>
        <w:t xml:space="preserve">xplanations. </w:t>
      </w:r>
      <w:r w:rsidRPr="003D2197">
        <w:rPr>
          <w:rFonts w:ascii="Times New Roman" w:hAnsi="Times New Roman" w:cs="Times New Roman"/>
          <w:i/>
          <w:iCs/>
          <w:sz w:val="24"/>
          <w:lang w:val="en-GB"/>
        </w:rPr>
        <w:t>Annual Review of Psychology</w:t>
      </w:r>
      <w:r w:rsidRPr="003D2197">
        <w:rPr>
          <w:rFonts w:ascii="Times New Roman" w:hAnsi="Times New Roman" w:cs="Times New Roman"/>
          <w:sz w:val="24"/>
          <w:lang w:val="en-GB"/>
        </w:rPr>
        <w:t xml:space="preserve">, </w:t>
      </w:r>
      <w:r w:rsidRPr="003D2197">
        <w:rPr>
          <w:rFonts w:ascii="Times New Roman" w:hAnsi="Times New Roman" w:cs="Times New Roman"/>
          <w:i/>
          <w:iCs/>
          <w:sz w:val="24"/>
          <w:lang w:val="en-GB"/>
        </w:rPr>
        <w:t>67</w:t>
      </w:r>
      <w:r w:rsidRPr="003D2197">
        <w:rPr>
          <w:rFonts w:ascii="Times New Roman" w:hAnsi="Times New Roman" w:cs="Times New Roman"/>
          <w:sz w:val="24"/>
          <w:lang w:val="en-GB"/>
        </w:rPr>
        <w:t xml:space="preserve">(1), 263–287. </w:t>
      </w:r>
    </w:p>
    <w:p w14:paraId="6834B628" w14:textId="00A0B026" w:rsidR="0063515E" w:rsidRPr="00A945E0" w:rsidRDefault="0063515E" w:rsidP="00037AAC">
      <w:pPr>
        <w:spacing w:line="360" w:lineRule="auto"/>
        <w:ind w:left="709" w:hanging="709"/>
        <w:rPr>
          <w:rFonts w:ascii="Times New Roman" w:hAnsi="Times New Roman" w:cs="Times New Roman"/>
          <w:sz w:val="28"/>
          <w:lang w:val="en-GB"/>
        </w:rPr>
      </w:pPr>
      <w:r w:rsidRPr="00A945E0">
        <w:rPr>
          <w:rFonts w:ascii="Times New Roman" w:hAnsi="Times New Roman" w:cs="Times New Roman"/>
          <w:sz w:val="24"/>
          <w:lang w:val="en-GB"/>
        </w:rPr>
        <w:t xml:space="preserve">Muehlenkamp, J. J., Swenson, L. P., Batejan, K. L., &amp; Jarvi, S. M. (2015). Emotional and behavioral effects of participating in an online study of nonsuicidal self-injury: An experimental analysis. </w:t>
      </w:r>
      <w:r w:rsidRPr="00A945E0">
        <w:rPr>
          <w:rFonts w:ascii="Times New Roman" w:hAnsi="Times New Roman" w:cs="Times New Roman"/>
          <w:i/>
          <w:iCs/>
          <w:sz w:val="24"/>
          <w:lang w:val="en-GB"/>
        </w:rPr>
        <w:t>Clinical Psychological Science</w:t>
      </w:r>
      <w:r w:rsidRPr="00A945E0">
        <w:rPr>
          <w:rFonts w:ascii="Times New Roman" w:hAnsi="Times New Roman" w:cs="Times New Roman"/>
          <w:sz w:val="24"/>
          <w:lang w:val="en-GB"/>
        </w:rPr>
        <w:t xml:space="preserve">, </w:t>
      </w:r>
      <w:r w:rsidRPr="00A945E0">
        <w:rPr>
          <w:rFonts w:ascii="Times New Roman" w:hAnsi="Times New Roman" w:cs="Times New Roman"/>
          <w:i/>
          <w:iCs/>
          <w:sz w:val="24"/>
          <w:lang w:val="en-GB"/>
        </w:rPr>
        <w:t>3</w:t>
      </w:r>
      <w:r w:rsidRPr="00A945E0">
        <w:rPr>
          <w:rFonts w:ascii="Times New Roman" w:hAnsi="Times New Roman" w:cs="Times New Roman"/>
          <w:sz w:val="24"/>
          <w:lang w:val="en-GB"/>
        </w:rPr>
        <w:t>(1), 26-37.</w:t>
      </w:r>
    </w:p>
    <w:p w14:paraId="3A3A09EE" w14:textId="3F7AE1C9" w:rsidR="00CF2D65" w:rsidRPr="00CF2D65" w:rsidRDefault="00CF2D65" w:rsidP="00037AAC">
      <w:pPr>
        <w:spacing w:line="360" w:lineRule="auto"/>
        <w:ind w:left="709" w:hanging="709"/>
        <w:rPr>
          <w:rFonts w:ascii="Times New Roman" w:hAnsi="Times New Roman" w:cs="Times New Roman"/>
          <w:sz w:val="28"/>
          <w:lang w:val="en-GB"/>
        </w:rPr>
      </w:pPr>
      <w:r w:rsidRPr="00CF2D65">
        <w:rPr>
          <w:rFonts w:ascii="Times New Roman" w:hAnsi="Times New Roman" w:cs="Times New Roman"/>
          <w:sz w:val="24"/>
          <w:lang w:val="en-GB"/>
        </w:rPr>
        <w:t xml:space="preserve">Nock, M. K., &amp; Banaji, M. R. (2007). Assessment of self-injurious thoughts using a behavioral test. </w:t>
      </w:r>
      <w:r w:rsidRPr="00CA57C2">
        <w:rPr>
          <w:rFonts w:ascii="Times New Roman" w:hAnsi="Times New Roman" w:cs="Times New Roman"/>
          <w:i/>
          <w:iCs/>
          <w:sz w:val="24"/>
          <w:lang w:val="en-GB"/>
        </w:rPr>
        <w:t>American Journal of Psychiatry</w:t>
      </w:r>
      <w:r w:rsidRPr="00CA57C2">
        <w:rPr>
          <w:rFonts w:ascii="Times New Roman" w:hAnsi="Times New Roman" w:cs="Times New Roman"/>
          <w:sz w:val="24"/>
          <w:lang w:val="en-GB"/>
        </w:rPr>
        <w:t xml:space="preserve">, </w:t>
      </w:r>
      <w:r w:rsidRPr="00CA57C2">
        <w:rPr>
          <w:rFonts w:ascii="Times New Roman" w:hAnsi="Times New Roman" w:cs="Times New Roman"/>
          <w:i/>
          <w:iCs/>
          <w:sz w:val="24"/>
          <w:lang w:val="en-GB"/>
        </w:rPr>
        <w:t>164</w:t>
      </w:r>
      <w:r w:rsidRPr="00CA57C2">
        <w:rPr>
          <w:rFonts w:ascii="Times New Roman" w:hAnsi="Times New Roman" w:cs="Times New Roman"/>
          <w:sz w:val="24"/>
          <w:lang w:val="en-GB"/>
        </w:rPr>
        <w:t>(5), 820-823.</w:t>
      </w:r>
    </w:p>
    <w:p w14:paraId="453779FB" w14:textId="2C9B90FD" w:rsidR="00CA57C2" w:rsidRPr="00CA57C2" w:rsidRDefault="00CA57C2" w:rsidP="00037AAC">
      <w:pPr>
        <w:spacing w:line="360" w:lineRule="auto"/>
        <w:ind w:left="709" w:hanging="709"/>
        <w:rPr>
          <w:rFonts w:ascii="Times New Roman" w:hAnsi="Times New Roman" w:cs="Times New Roman"/>
          <w:sz w:val="28"/>
          <w:lang w:val="en-GB"/>
        </w:rPr>
      </w:pPr>
      <w:r w:rsidRPr="00CA57C2">
        <w:rPr>
          <w:rFonts w:ascii="Times New Roman" w:hAnsi="Times New Roman" w:cs="Times New Roman"/>
          <w:sz w:val="24"/>
          <w:lang w:val="en-GB"/>
        </w:rPr>
        <w:t xml:space="preserve">Nock, M. K., &amp; Prinstein, M. J. (2004). A functional approach to the assessment of self-mutilative behavior. </w:t>
      </w:r>
      <w:r w:rsidRPr="0020778B">
        <w:rPr>
          <w:rFonts w:ascii="Times New Roman" w:hAnsi="Times New Roman" w:cs="Times New Roman"/>
          <w:i/>
          <w:iCs/>
          <w:sz w:val="24"/>
          <w:lang w:val="en-GB"/>
        </w:rPr>
        <w:t>Journal of consulting and clinical psychology</w:t>
      </w:r>
      <w:r w:rsidRPr="0020778B">
        <w:rPr>
          <w:rFonts w:ascii="Times New Roman" w:hAnsi="Times New Roman" w:cs="Times New Roman"/>
          <w:sz w:val="24"/>
          <w:lang w:val="en-GB"/>
        </w:rPr>
        <w:t xml:space="preserve">, </w:t>
      </w:r>
      <w:r w:rsidRPr="0020778B">
        <w:rPr>
          <w:rFonts w:ascii="Times New Roman" w:hAnsi="Times New Roman" w:cs="Times New Roman"/>
          <w:i/>
          <w:iCs/>
          <w:sz w:val="24"/>
          <w:lang w:val="en-GB"/>
        </w:rPr>
        <w:t>72</w:t>
      </w:r>
      <w:r w:rsidRPr="0020778B">
        <w:rPr>
          <w:rFonts w:ascii="Times New Roman" w:hAnsi="Times New Roman" w:cs="Times New Roman"/>
          <w:sz w:val="24"/>
          <w:lang w:val="en-GB"/>
        </w:rPr>
        <w:t>(5), 885.</w:t>
      </w:r>
    </w:p>
    <w:p w14:paraId="19752642" w14:textId="4D9E1925" w:rsidR="005300A4" w:rsidRPr="00037AAC" w:rsidRDefault="00037AAC" w:rsidP="00037AAC">
      <w:pPr>
        <w:spacing w:line="360" w:lineRule="auto"/>
        <w:ind w:left="709" w:hanging="709"/>
        <w:rPr>
          <w:rFonts w:ascii="Times New Roman" w:hAnsi="Times New Roman" w:cs="Times New Roman"/>
          <w:sz w:val="28"/>
          <w:szCs w:val="20"/>
          <w:lang w:val="en-GB"/>
        </w:rPr>
      </w:pPr>
      <w:r w:rsidRPr="00037AAC">
        <w:rPr>
          <w:rFonts w:ascii="Times New Roman" w:hAnsi="Times New Roman" w:cs="Times New Roman"/>
          <w:sz w:val="24"/>
          <w:lang w:val="en-GB"/>
        </w:rPr>
        <w:t xml:space="preserve">Sartori, G., Agosta, S., Zogmaister, C., Ferrara, S. D., &amp; Castiello, U. (2008). How to accurately detect autobiographical events. </w:t>
      </w:r>
      <w:r w:rsidRPr="00037AAC">
        <w:rPr>
          <w:rFonts w:ascii="Times New Roman" w:hAnsi="Times New Roman" w:cs="Times New Roman"/>
          <w:i/>
          <w:iCs/>
          <w:sz w:val="24"/>
          <w:lang w:val="en-GB"/>
        </w:rPr>
        <w:t>Psychological science</w:t>
      </w:r>
      <w:r w:rsidRPr="00037AAC">
        <w:rPr>
          <w:rFonts w:ascii="Times New Roman" w:hAnsi="Times New Roman" w:cs="Times New Roman"/>
          <w:sz w:val="24"/>
          <w:lang w:val="en-GB"/>
        </w:rPr>
        <w:t xml:space="preserve">, </w:t>
      </w:r>
      <w:r w:rsidRPr="00037AAC">
        <w:rPr>
          <w:rFonts w:ascii="Times New Roman" w:hAnsi="Times New Roman" w:cs="Times New Roman"/>
          <w:i/>
          <w:iCs/>
          <w:sz w:val="24"/>
          <w:lang w:val="en-GB"/>
        </w:rPr>
        <w:t>19</w:t>
      </w:r>
      <w:r w:rsidRPr="00037AAC">
        <w:rPr>
          <w:rFonts w:ascii="Times New Roman" w:hAnsi="Times New Roman" w:cs="Times New Roman"/>
          <w:sz w:val="24"/>
          <w:lang w:val="en-GB"/>
        </w:rPr>
        <w:t>(8), 772-780.</w:t>
      </w:r>
    </w:p>
    <w:p w14:paraId="10379619" w14:textId="3F0EB145" w:rsidR="00E72621" w:rsidRPr="00E72621" w:rsidRDefault="00E72621" w:rsidP="00E72621">
      <w:pPr>
        <w:spacing w:line="360" w:lineRule="auto"/>
        <w:ind w:left="709" w:hanging="709"/>
        <w:rPr>
          <w:rFonts w:ascii="Times New Roman" w:hAnsi="Times New Roman" w:cs="Times New Roman"/>
          <w:sz w:val="28"/>
          <w:lang w:val="en-GB"/>
        </w:rPr>
      </w:pPr>
      <w:r w:rsidRPr="0020778B">
        <w:rPr>
          <w:rFonts w:ascii="Times New Roman" w:hAnsi="Times New Roman" w:cs="Times New Roman"/>
          <w:sz w:val="24"/>
          <w:lang w:val="en-GB"/>
        </w:rPr>
        <w:t xml:space="preserve">Tuisku, V., Kiviruusu, O., Pelkonen, M., Karlsson, L., Strandholm, T., &amp; Marttunen, M. (2014). </w:t>
      </w:r>
      <w:r w:rsidRPr="00E72621">
        <w:rPr>
          <w:rFonts w:ascii="Times New Roman" w:hAnsi="Times New Roman" w:cs="Times New Roman"/>
          <w:sz w:val="24"/>
          <w:lang w:val="en-GB"/>
        </w:rPr>
        <w:t xml:space="preserve">Depressed adolescents as young adults–predictors of suicide attempt and non-suicidal self-injury during an 8-year follow-up. </w:t>
      </w:r>
      <w:r w:rsidRPr="0020778B">
        <w:rPr>
          <w:rFonts w:ascii="Times New Roman" w:hAnsi="Times New Roman" w:cs="Times New Roman"/>
          <w:i/>
          <w:iCs/>
          <w:sz w:val="24"/>
          <w:lang w:val="en-GB"/>
        </w:rPr>
        <w:t>Journal of affective disorders</w:t>
      </w:r>
      <w:r w:rsidRPr="0020778B">
        <w:rPr>
          <w:rFonts w:ascii="Times New Roman" w:hAnsi="Times New Roman" w:cs="Times New Roman"/>
          <w:sz w:val="24"/>
          <w:lang w:val="en-GB"/>
        </w:rPr>
        <w:t xml:space="preserve">, </w:t>
      </w:r>
      <w:r w:rsidRPr="0020778B">
        <w:rPr>
          <w:rFonts w:ascii="Times New Roman" w:hAnsi="Times New Roman" w:cs="Times New Roman"/>
          <w:i/>
          <w:iCs/>
          <w:sz w:val="24"/>
          <w:lang w:val="en-GB"/>
        </w:rPr>
        <w:t>152</w:t>
      </w:r>
      <w:r w:rsidRPr="0020778B">
        <w:rPr>
          <w:rFonts w:ascii="Times New Roman" w:hAnsi="Times New Roman" w:cs="Times New Roman"/>
          <w:sz w:val="24"/>
          <w:lang w:val="en-GB"/>
        </w:rPr>
        <w:t>, 313-319.</w:t>
      </w:r>
    </w:p>
    <w:p w14:paraId="3E496501" w14:textId="2228BF17" w:rsidR="005300A4" w:rsidRPr="00B34DB1" w:rsidRDefault="00B34DB1" w:rsidP="00971CC8">
      <w:pPr>
        <w:spacing w:line="360" w:lineRule="auto"/>
        <w:rPr>
          <w:rFonts w:ascii="Times New Roman" w:hAnsi="Times New Roman" w:cs="Times New Roman"/>
          <w:sz w:val="28"/>
          <w:szCs w:val="20"/>
          <w:lang w:val="en-GB"/>
        </w:rPr>
      </w:pPr>
      <w:r w:rsidRPr="00B34DB1">
        <w:rPr>
          <w:rFonts w:ascii="Times New Roman" w:hAnsi="Times New Roman" w:cs="Times New Roman"/>
          <w:sz w:val="24"/>
          <w:lang w:val="en-GB"/>
        </w:rPr>
        <w:t xml:space="preserve">Walsh, B. W. (2012). </w:t>
      </w:r>
      <w:r w:rsidRPr="00B34DB1">
        <w:rPr>
          <w:rFonts w:ascii="Times New Roman" w:hAnsi="Times New Roman" w:cs="Times New Roman"/>
          <w:i/>
          <w:iCs/>
          <w:sz w:val="24"/>
          <w:lang w:val="en-GB"/>
        </w:rPr>
        <w:t>Treating self-injury: A practical guide</w:t>
      </w:r>
      <w:r w:rsidRPr="00B34DB1">
        <w:rPr>
          <w:rFonts w:ascii="Times New Roman" w:hAnsi="Times New Roman" w:cs="Times New Roman"/>
          <w:sz w:val="24"/>
          <w:lang w:val="en-GB"/>
        </w:rPr>
        <w:t xml:space="preserve">. </w:t>
      </w:r>
      <w:r w:rsidRPr="00E72621">
        <w:rPr>
          <w:rFonts w:ascii="Times New Roman" w:hAnsi="Times New Roman" w:cs="Times New Roman"/>
          <w:sz w:val="24"/>
          <w:lang w:val="en-GB"/>
        </w:rPr>
        <w:t>Guilford Press.</w:t>
      </w:r>
    </w:p>
    <w:p w14:paraId="20B4A597" w14:textId="5604239C" w:rsidR="005300A4" w:rsidRPr="00E72621" w:rsidRDefault="00E72621" w:rsidP="00E72621">
      <w:pPr>
        <w:spacing w:line="360" w:lineRule="auto"/>
        <w:ind w:left="709" w:hanging="709"/>
        <w:rPr>
          <w:rFonts w:ascii="Times New Roman" w:hAnsi="Times New Roman" w:cs="Times New Roman"/>
          <w:sz w:val="28"/>
          <w:szCs w:val="20"/>
          <w:lang w:val="en-GB"/>
        </w:rPr>
      </w:pPr>
      <w:r w:rsidRPr="00E72621">
        <w:rPr>
          <w:rFonts w:ascii="Times New Roman" w:hAnsi="Times New Roman" w:cs="Times New Roman"/>
          <w:sz w:val="24"/>
          <w:lang w:val="en-GB"/>
        </w:rPr>
        <w:t xml:space="preserve">Wilkinson, P., Kelvin, R., Roberts, C., Dubicka, B., &amp; Goodyer, I. (2011). Clinical and psychosocial predictors of suicide attempts and nonsuicidal self-injury in the Adolescent Depression Antidepressants and Psychotherapy Trial (ADAPT). </w:t>
      </w:r>
      <w:r w:rsidRPr="00E72621">
        <w:rPr>
          <w:rFonts w:ascii="Times New Roman" w:hAnsi="Times New Roman" w:cs="Times New Roman"/>
          <w:i/>
          <w:iCs/>
          <w:sz w:val="24"/>
        </w:rPr>
        <w:t>American journal of psychiatry</w:t>
      </w:r>
      <w:r w:rsidRPr="00E72621">
        <w:rPr>
          <w:rFonts w:ascii="Times New Roman" w:hAnsi="Times New Roman" w:cs="Times New Roman"/>
          <w:sz w:val="24"/>
        </w:rPr>
        <w:t xml:space="preserve">, </w:t>
      </w:r>
      <w:r w:rsidRPr="00E72621">
        <w:rPr>
          <w:rFonts w:ascii="Times New Roman" w:hAnsi="Times New Roman" w:cs="Times New Roman"/>
          <w:i/>
          <w:iCs/>
          <w:sz w:val="24"/>
        </w:rPr>
        <w:t>168</w:t>
      </w:r>
      <w:r w:rsidRPr="00E72621">
        <w:rPr>
          <w:rFonts w:ascii="Times New Roman" w:hAnsi="Times New Roman" w:cs="Times New Roman"/>
          <w:sz w:val="24"/>
        </w:rPr>
        <w:t>(5), 495-501.</w:t>
      </w:r>
    </w:p>
    <w:p w14:paraId="4D415D9C" w14:textId="77777777" w:rsidR="005300A4" w:rsidRDefault="005300A4" w:rsidP="00971CC8">
      <w:pPr>
        <w:spacing w:line="360" w:lineRule="auto"/>
        <w:rPr>
          <w:rFonts w:ascii="Times New Roman" w:hAnsi="Times New Roman" w:cs="Times New Roman"/>
          <w:sz w:val="24"/>
          <w:szCs w:val="20"/>
          <w:lang w:val="en-GB"/>
        </w:rPr>
      </w:pPr>
    </w:p>
    <w:p w14:paraId="5FB0F5A6" w14:textId="77777777" w:rsidR="005300A4" w:rsidRDefault="005300A4" w:rsidP="00971CC8">
      <w:pPr>
        <w:spacing w:line="360" w:lineRule="auto"/>
        <w:rPr>
          <w:rFonts w:ascii="Times New Roman" w:hAnsi="Times New Roman" w:cs="Times New Roman"/>
          <w:sz w:val="24"/>
          <w:szCs w:val="20"/>
          <w:lang w:val="en-GB"/>
        </w:rPr>
      </w:pPr>
    </w:p>
    <w:p w14:paraId="22CCC230" w14:textId="77777777" w:rsidR="005300A4" w:rsidRDefault="005300A4" w:rsidP="00971CC8">
      <w:pPr>
        <w:spacing w:line="360" w:lineRule="auto"/>
        <w:rPr>
          <w:rFonts w:ascii="Times New Roman" w:hAnsi="Times New Roman" w:cs="Times New Roman"/>
          <w:sz w:val="24"/>
          <w:szCs w:val="20"/>
          <w:lang w:val="en-GB"/>
        </w:rPr>
      </w:pPr>
    </w:p>
    <w:p w14:paraId="24427FF5" w14:textId="77777777" w:rsidR="005300A4" w:rsidRDefault="005300A4" w:rsidP="00971CC8">
      <w:pPr>
        <w:spacing w:line="360" w:lineRule="auto"/>
        <w:rPr>
          <w:rFonts w:ascii="Times New Roman" w:hAnsi="Times New Roman" w:cs="Times New Roman"/>
          <w:sz w:val="24"/>
          <w:szCs w:val="20"/>
          <w:lang w:val="en-GB"/>
        </w:rPr>
      </w:pPr>
    </w:p>
    <w:p w14:paraId="2633AFA6" w14:textId="77777777" w:rsidR="005300A4" w:rsidRDefault="005300A4" w:rsidP="00971CC8">
      <w:pPr>
        <w:spacing w:line="360" w:lineRule="auto"/>
        <w:rPr>
          <w:rFonts w:ascii="Times New Roman" w:hAnsi="Times New Roman" w:cs="Times New Roman"/>
          <w:sz w:val="24"/>
          <w:szCs w:val="20"/>
          <w:lang w:val="en-GB"/>
        </w:rPr>
      </w:pPr>
    </w:p>
    <w:p w14:paraId="0EEEF05E" w14:textId="7C9211D0" w:rsidR="00732F72" w:rsidRDefault="002C00BC"/>
    <w:sectPr w:rsidR="00732F7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28F123D" w14:textId="77777777" w:rsidR="00FA5217" w:rsidRDefault="00FA5217" w:rsidP="006C25F3">
      <w:pPr>
        <w:spacing w:after="0" w:line="240" w:lineRule="auto"/>
      </w:pPr>
      <w:r>
        <w:separator/>
      </w:r>
    </w:p>
  </w:endnote>
  <w:endnote w:type="continuationSeparator" w:id="0">
    <w:p w14:paraId="296276E3" w14:textId="77777777" w:rsidR="00FA5217" w:rsidRDefault="00FA5217" w:rsidP="006C25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5A20869" w14:textId="77777777" w:rsidR="00FA5217" w:rsidRDefault="00FA5217" w:rsidP="006C25F3">
      <w:pPr>
        <w:spacing w:after="0" w:line="240" w:lineRule="auto"/>
      </w:pPr>
      <w:r>
        <w:separator/>
      </w:r>
    </w:p>
  </w:footnote>
  <w:footnote w:type="continuationSeparator" w:id="0">
    <w:p w14:paraId="326F10C9" w14:textId="77777777" w:rsidR="00FA5217" w:rsidRDefault="00FA5217" w:rsidP="006C25F3">
      <w:pPr>
        <w:spacing w:after="0" w:line="240" w:lineRule="auto"/>
      </w:pPr>
      <w:r>
        <w:continuationSeparator/>
      </w:r>
    </w:p>
  </w:footnote>
  <w:footnote w:id="1">
    <w:p w14:paraId="12DB1B99" w14:textId="77777777" w:rsidR="00CC3A4F" w:rsidRPr="006B45EE" w:rsidRDefault="00CC3A4F">
      <w:pPr>
        <w:pStyle w:val="Voetnoottekst"/>
        <w:rPr>
          <w:rFonts w:ascii="Times New Roman" w:hAnsi="Times New Roman" w:cs="Times New Roman"/>
          <w:lang w:val="en-GB"/>
        </w:rPr>
      </w:pPr>
      <w:r w:rsidRPr="006B45EE">
        <w:rPr>
          <w:rStyle w:val="Voetnootmarkering"/>
          <w:rFonts w:ascii="Times New Roman" w:hAnsi="Times New Roman" w:cs="Times New Roman"/>
          <w:sz w:val="24"/>
        </w:rPr>
        <w:footnoteRef/>
      </w:r>
      <w:r w:rsidRPr="006B45EE">
        <w:rPr>
          <w:rFonts w:ascii="Times New Roman" w:hAnsi="Times New Roman" w:cs="Times New Roman"/>
          <w:sz w:val="24"/>
          <w:lang w:val="en-GB"/>
        </w:rPr>
        <w:t xml:space="preserve"> Note that cluster b personality was the second strongest predictor (OR = 5.39), however, the 95% CI in the study (and in in the individual studies) was large (2.37 – 14.83). This effect was less reliable and therefore, this factor will not be included in the current study.</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630F24"/>
    <w:multiLevelType w:val="hybridMultilevel"/>
    <w:tmpl w:val="16A400E0"/>
    <w:lvl w:ilvl="0" w:tplc="E690A234">
      <w:numFmt w:val="bullet"/>
      <w:lvlText w:val=""/>
      <w:lvlJc w:val="left"/>
      <w:pPr>
        <w:ind w:left="720" w:hanging="360"/>
      </w:pPr>
      <w:rPr>
        <w:rFonts w:ascii="Symbol" w:eastAsiaTheme="minorHAnsi" w:hAnsi="Symbol" w:cs="Times New Roman"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 w15:restartNumberingAfterBreak="0">
    <w:nsid w:val="3941347B"/>
    <w:multiLevelType w:val="hybridMultilevel"/>
    <w:tmpl w:val="39A02102"/>
    <w:lvl w:ilvl="0" w:tplc="08130003">
      <w:start w:val="1"/>
      <w:numFmt w:val="bullet"/>
      <w:lvlText w:val="o"/>
      <w:lvlJc w:val="left"/>
      <w:pPr>
        <w:ind w:left="720" w:hanging="360"/>
      </w:pPr>
      <w:rPr>
        <w:rFonts w:ascii="Courier New" w:hAnsi="Courier New" w:cs="Courier New"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 w15:restartNumberingAfterBreak="0">
    <w:nsid w:val="53036928"/>
    <w:multiLevelType w:val="hybridMultilevel"/>
    <w:tmpl w:val="FB3606B4"/>
    <w:lvl w:ilvl="0" w:tplc="08130001">
      <w:start w:val="1"/>
      <w:numFmt w:val="bullet"/>
      <w:lvlText w:val=""/>
      <w:lvlJc w:val="left"/>
      <w:pPr>
        <w:ind w:left="1572" w:hanging="360"/>
      </w:pPr>
      <w:rPr>
        <w:rFonts w:ascii="Symbol" w:hAnsi="Symbol" w:hint="default"/>
      </w:rPr>
    </w:lvl>
    <w:lvl w:ilvl="1" w:tplc="08130003" w:tentative="1">
      <w:start w:val="1"/>
      <w:numFmt w:val="bullet"/>
      <w:lvlText w:val="o"/>
      <w:lvlJc w:val="left"/>
      <w:pPr>
        <w:ind w:left="2292" w:hanging="360"/>
      </w:pPr>
      <w:rPr>
        <w:rFonts w:ascii="Courier New" w:hAnsi="Courier New" w:cs="Courier New" w:hint="default"/>
      </w:rPr>
    </w:lvl>
    <w:lvl w:ilvl="2" w:tplc="08130005" w:tentative="1">
      <w:start w:val="1"/>
      <w:numFmt w:val="bullet"/>
      <w:lvlText w:val=""/>
      <w:lvlJc w:val="left"/>
      <w:pPr>
        <w:ind w:left="3012" w:hanging="360"/>
      </w:pPr>
      <w:rPr>
        <w:rFonts w:ascii="Wingdings" w:hAnsi="Wingdings" w:hint="default"/>
      </w:rPr>
    </w:lvl>
    <w:lvl w:ilvl="3" w:tplc="08130001" w:tentative="1">
      <w:start w:val="1"/>
      <w:numFmt w:val="bullet"/>
      <w:lvlText w:val=""/>
      <w:lvlJc w:val="left"/>
      <w:pPr>
        <w:ind w:left="3732" w:hanging="360"/>
      </w:pPr>
      <w:rPr>
        <w:rFonts w:ascii="Symbol" w:hAnsi="Symbol" w:hint="default"/>
      </w:rPr>
    </w:lvl>
    <w:lvl w:ilvl="4" w:tplc="08130003" w:tentative="1">
      <w:start w:val="1"/>
      <w:numFmt w:val="bullet"/>
      <w:lvlText w:val="o"/>
      <w:lvlJc w:val="left"/>
      <w:pPr>
        <w:ind w:left="4452" w:hanging="360"/>
      </w:pPr>
      <w:rPr>
        <w:rFonts w:ascii="Courier New" w:hAnsi="Courier New" w:cs="Courier New" w:hint="default"/>
      </w:rPr>
    </w:lvl>
    <w:lvl w:ilvl="5" w:tplc="08130005" w:tentative="1">
      <w:start w:val="1"/>
      <w:numFmt w:val="bullet"/>
      <w:lvlText w:val=""/>
      <w:lvlJc w:val="left"/>
      <w:pPr>
        <w:ind w:left="5172" w:hanging="360"/>
      </w:pPr>
      <w:rPr>
        <w:rFonts w:ascii="Wingdings" w:hAnsi="Wingdings" w:hint="default"/>
      </w:rPr>
    </w:lvl>
    <w:lvl w:ilvl="6" w:tplc="08130001" w:tentative="1">
      <w:start w:val="1"/>
      <w:numFmt w:val="bullet"/>
      <w:lvlText w:val=""/>
      <w:lvlJc w:val="left"/>
      <w:pPr>
        <w:ind w:left="5892" w:hanging="360"/>
      </w:pPr>
      <w:rPr>
        <w:rFonts w:ascii="Symbol" w:hAnsi="Symbol" w:hint="default"/>
      </w:rPr>
    </w:lvl>
    <w:lvl w:ilvl="7" w:tplc="08130003" w:tentative="1">
      <w:start w:val="1"/>
      <w:numFmt w:val="bullet"/>
      <w:lvlText w:val="o"/>
      <w:lvlJc w:val="left"/>
      <w:pPr>
        <w:ind w:left="6612" w:hanging="360"/>
      </w:pPr>
      <w:rPr>
        <w:rFonts w:ascii="Courier New" w:hAnsi="Courier New" w:cs="Courier New" w:hint="default"/>
      </w:rPr>
    </w:lvl>
    <w:lvl w:ilvl="8" w:tplc="08130005" w:tentative="1">
      <w:start w:val="1"/>
      <w:numFmt w:val="bullet"/>
      <w:lvlText w:val=""/>
      <w:lvlJc w:val="left"/>
      <w:pPr>
        <w:ind w:left="7332" w:hanging="360"/>
      </w:pPr>
      <w:rPr>
        <w:rFonts w:ascii="Wingdings" w:hAnsi="Wingdings" w:hint="default"/>
      </w:rPr>
    </w:lvl>
  </w:abstractNum>
  <w:abstractNum w:abstractNumId="3" w15:restartNumberingAfterBreak="0">
    <w:nsid w:val="647528B5"/>
    <w:multiLevelType w:val="hybridMultilevel"/>
    <w:tmpl w:val="A0B83034"/>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 w15:restartNumberingAfterBreak="0">
    <w:nsid w:val="68391275"/>
    <w:multiLevelType w:val="hybridMultilevel"/>
    <w:tmpl w:val="0F441C32"/>
    <w:lvl w:ilvl="0" w:tplc="08130001">
      <w:start w:val="1"/>
      <w:numFmt w:val="bullet"/>
      <w:lvlText w:val=""/>
      <w:lvlJc w:val="left"/>
      <w:pPr>
        <w:ind w:left="786"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5" w15:restartNumberingAfterBreak="0">
    <w:nsid w:val="6C6A5B2D"/>
    <w:multiLevelType w:val="hybridMultilevel"/>
    <w:tmpl w:val="517212E6"/>
    <w:lvl w:ilvl="0" w:tplc="08130003">
      <w:start w:val="1"/>
      <w:numFmt w:val="bullet"/>
      <w:lvlText w:val="o"/>
      <w:lvlJc w:val="left"/>
      <w:pPr>
        <w:ind w:left="1212" w:hanging="360"/>
      </w:pPr>
      <w:rPr>
        <w:rFonts w:ascii="Courier New" w:hAnsi="Courier New" w:cs="Courier New" w:hint="default"/>
      </w:rPr>
    </w:lvl>
    <w:lvl w:ilvl="1" w:tplc="08130003" w:tentative="1">
      <w:start w:val="1"/>
      <w:numFmt w:val="bullet"/>
      <w:lvlText w:val="o"/>
      <w:lvlJc w:val="left"/>
      <w:pPr>
        <w:ind w:left="1932" w:hanging="360"/>
      </w:pPr>
      <w:rPr>
        <w:rFonts w:ascii="Courier New" w:hAnsi="Courier New" w:cs="Courier New" w:hint="default"/>
      </w:rPr>
    </w:lvl>
    <w:lvl w:ilvl="2" w:tplc="08130005" w:tentative="1">
      <w:start w:val="1"/>
      <w:numFmt w:val="bullet"/>
      <w:lvlText w:val=""/>
      <w:lvlJc w:val="left"/>
      <w:pPr>
        <w:ind w:left="2652" w:hanging="360"/>
      </w:pPr>
      <w:rPr>
        <w:rFonts w:ascii="Wingdings" w:hAnsi="Wingdings" w:hint="default"/>
      </w:rPr>
    </w:lvl>
    <w:lvl w:ilvl="3" w:tplc="08130001" w:tentative="1">
      <w:start w:val="1"/>
      <w:numFmt w:val="bullet"/>
      <w:lvlText w:val=""/>
      <w:lvlJc w:val="left"/>
      <w:pPr>
        <w:ind w:left="3372" w:hanging="360"/>
      </w:pPr>
      <w:rPr>
        <w:rFonts w:ascii="Symbol" w:hAnsi="Symbol" w:hint="default"/>
      </w:rPr>
    </w:lvl>
    <w:lvl w:ilvl="4" w:tplc="08130003" w:tentative="1">
      <w:start w:val="1"/>
      <w:numFmt w:val="bullet"/>
      <w:lvlText w:val="o"/>
      <w:lvlJc w:val="left"/>
      <w:pPr>
        <w:ind w:left="4092" w:hanging="360"/>
      </w:pPr>
      <w:rPr>
        <w:rFonts w:ascii="Courier New" w:hAnsi="Courier New" w:cs="Courier New" w:hint="default"/>
      </w:rPr>
    </w:lvl>
    <w:lvl w:ilvl="5" w:tplc="08130005" w:tentative="1">
      <w:start w:val="1"/>
      <w:numFmt w:val="bullet"/>
      <w:lvlText w:val=""/>
      <w:lvlJc w:val="left"/>
      <w:pPr>
        <w:ind w:left="4812" w:hanging="360"/>
      </w:pPr>
      <w:rPr>
        <w:rFonts w:ascii="Wingdings" w:hAnsi="Wingdings" w:hint="default"/>
      </w:rPr>
    </w:lvl>
    <w:lvl w:ilvl="6" w:tplc="08130001" w:tentative="1">
      <w:start w:val="1"/>
      <w:numFmt w:val="bullet"/>
      <w:lvlText w:val=""/>
      <w:lvlJc w:val="left"/>
      <w:pPr>
        <w:ind w:left="5532" w:hanging="360"/>
      </w:pPr>
      <w:rPr>
        <w:rFonts w:ascii="Symbol" w:hAnsi="Symbol" w:hint="default"/>
      </w:rPr>
    </w:lvl>
    <w:lvl w:ilvl="7" w:tplc="08130003" w:tentative="1">
      <w:start w:val="1"/>
      <w:numFmt w:val="bullet"/>
      <w:lvlText w:val="o"/>
      <w:lvlJc w:val="left"/>
      <w:pPr>
        <w:ind w:left="6252" w:hanging="360"/>
      </w:pPr>
      <w:rPr>
        <w:rFonts w:ascii="Courier New" w:hAnsi="Courier New" w:cs="Courier New" w:hint="default"/>
      </w:rPr>
    </w:lvl>
    <w:lvl w:ilvl="8" w:tplc="08130005" w:tentative="1">
      <w:start w:val="1"/>
      <w:numFmt w:val="bullet"/>
      <w:lvlText w:val=""/>
      <w:lvlJc w:val="left"/>
      <w:pPr>
        <w:ind w:left="6972" w:hanging="360"/>
      </w:pPr>
      <w:rPr>
        <w:rFonts w:ascii="Wingdings" w:hAnsi="Wingdings" w:hint="default"/>
      </w:rPr>
    </w:lvl>
  </w:abstractNum>
  <w:abstractNum w:abstractNumId="6" w15:restartNumberingAfterBreak="0">
    <w:nsid w:val="79587B8D"/>
    <w:multiLevelType w:val="hybridMultilevel"/>
    <w:tmpl w:val="7AB4DE60"/>
    <w:lvl w:ilvl="0" w:tplc="0902F116">
      <w:numFmt w:val="bullet"/>
      <w:lvlText w:val=""/>
      <w:lvlJc w:val="left"/>
      <w:pPr>
        <w:ind w:left="720" w:hanging="360"/>
      </w:pPr>
      <w:rPr>
        <w:rFonts w:ascii="Symbol" w:eastAsiaTheme="minorHAnsi" w:hAnsi="Symbol" w:cs="Times New Roman"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abstractNumId w:val="4"/>
  </w:num>
  <w:num w:numId="2">
    <w:abstractNumId w:val="5"/>
  </w:num>
  <w:num w:numId="3">
    <w:abstractNumId w:val="3"/>
  </w:num>
  <w:num w:numId="4">
    <w:abstractNumId w:val="2"/>
  </w:num>
  <w:num w:numId="5">
    <w:abstractNumId w:val="6"/>
  </w:num>
  <w:num w:numId="6">
    <w:abstractNumId w:val="0"/>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37FF"/>
    <w:rsid w:val="000112AF"/>
    <w:rsid w:val="00037AAC"/>
    <w:rsid w:val="00054F7C"/>
    <w:rsid w:val="0006730C"/>
    <w:rsid w:val="00070671"/>
    <w:rsid w:val="001228DC"/>
    <w:rsid w:val="001415B6"/>
    <w:rsid w:val="001656C9"/>
    <w:rsid w:val="001D23F5"/>
    <w:rsid w:val="0020778B"/>
    <w:rsid w:val="002235C0"/>
    <w:rsid w:val="002359D0"/>
    <w:rsid w:val="002967AF"/>
    <w:rsid w:val="002A19BA"/>
    <w:rsid w:val="002A3F4A"/>
    <w:rsid w:val="002A6110"/>
    <w:rsid w:val="002B723B"/>
    <w:rsid w:val="002C00BC"/>
    <w:rsid w:val="002C5C83"/>
    <w:rsid w:val="00300FF8"/>
    <w:rsid w:val="003A61E2"/>
    <w:rsid w:val="00404933"/>
    <w:rsid w:val="00410D71"/>
    <w:rsid w:val="00453407"/>
    <w:rsid w:val="00473257"/>
    <w:rsid w:val="00483077"/>
    <w:rsid w:val="004A1F8C"/>
    <w:rsid w:val="005300A4"/>
    <w:rsid w:val="00606BC2"/>
    <w:rsid w:val="0063515E"/>
    <w:rsid w:val="006A2FF7"/>
    <w:rsid w:val="006B45EE"/>
    <w:rsid w:val="006C25F3"/>
    <w:rsid w:val="00701A6F"/>
    <w:rsid w:val="0072172C"/>
    <w:rsid w:val="007278CB"/>
    <w:rsid w:val="00750742"/>
    <w:rsid w:val="007521A1"/>
    <w:rsid w:val="007A4929"/>
    <w:rsid w:val="007E0B1E"/>
    <w:rsid w:val="008041C4"/>
    <w:rsid w:val="008651EE"/>
    <w:rsid w:val="00865A40"/>
    <w:rsid w:val="0092384B"/>
    <w:rsid w:val="00971CC8"/>
    <w:rsid w:val="00980065"/>
    <w:rsid w:val="009A5ACA"/>
    <w:rsid w:val="009F05C8"/>
    <w:rsid w:val="00A337FF"/>
    <w:rsid w:val="00A932AC"/>
    <w:rsid w:val="00A945E0"/>
    <w:rsid w:val="00AE1EC9"/>
    <w:rsid w:val="00AE3972"/>
    <w:rsid w:val="00B34DB1"/>
    <w:rsid w:val="00B63A05"/>
    <w:rsid w:val="00B9415D"/>
    <w:rsid w:val="00BB3BC8"/>
    <w:rsid w:val="00BC5DEE"/>
    <w:rsid w:val="00BF5EFA"/>
    <w:rsid w:val="00C011A1"/>
    <w:rsid w:val="00C45D38"/>
    <w:rsid w:val="00C91492"/>
    <w:rsid w:val="00CA300A"/>
    <w:rsid w:val="00CA57C2"/>
    <w:rsid w:val="00CC3A4F"/>
    <w:rsid w:val="00CD4866"/>
    <w:rsid w:val="00CE556E"/>
    <w:rsid w:val="00CF259E"/>
    <w:rsid w:val="00CF2D65"/>
    <w:rsid w:val="00D715F4"/>
    <w:rsid w:val="00D93E39"/>
    <w:rsid w:val="00DB33B9"/>
    <w:rsid w:val="00E27B78"/>
    <w:rsid w:val="00E72621"/>
    <w:rsid w:val="00EC0052"/>
    <w:rsid w:val="00F11A05"/>
    <w:rsid w:val="00F621E5"/>
    <w:rsid w:val="00F66CED"/>
    <w:rsid w:val="00FA5217"/>
    <w:rsid w:val="00FD752C"/>
    <w:rsid w:val="00FE0F2D"/>
    <w:rsid w:val="00FF5FE5"/>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79585"/>
  <w15:chartTrackingRefBased/>
  <w15:docId w15:val="{F46342CC-C4D0-42C1-AF91-C51BC9A88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uiPriority w:val="34"/>
    <w:qFormat/>
    <w:rsid w:val="00A337FF"/>
    <w:pPr>
      <w:ind w:left="720"/>
      <w:contextualSpacing/>
    </w:pPr>
  </w:style>
  <w:style w:type="character" w:styleId="Nadruk">
    <w:name w:val="Emphasis"/>
    <w:basedOn w:val="Standaardalinea-lettertype"/>
    <w:uiPriority w:val="20"/>
    <w:qFormat/>
    <w:rsid w:val="00483077"/>
    <w:rPr>
      <w:i/>
      <w:iCs/>
    </w:rPr>
  </w:style>
  <w:style w:type="character" w:styleId="Hyperlink">
    <w:name w:val="Hyperlink"/>
    <w:basedOn w:val="Standaardalinea-lettertype"/>
    <w:uiPriority w:val="99"/>
    <w:semiHidden/>
    <w:unhideWhenUsed/>
    <w:rsid w:val="00483077"/>
    <w:rPr>
      <w:color w:val="0000FF"/>
      <w:u w:val="single"/>
    </w:rPr>
  </w:style>
  <w:style w:type="character" w:customStyle="1" w:styleId="selectable">
    <w:name w:val="selectable"/>
    <w:basedOn w:val="Standaardalinea-lettertype"/>
    <w:rsid w:val="00483077"/>
  </w:style>
  <w:style w:type="character" w:customStyle="1" w:styleId="normaltextrun">
    <w:name w:val="normaltextrun"/>
    <w:basedOn w:val="Standaardalinea-lettertype"/>
    <w:rsid w:val="008041C4"/>
  </w:style>
  <w:style w:type="character" w:customStyle="1" w:styleId="spellingerror">
    <w:name w:val="spellingerror"/>
    <w:basedOn w:val="Standaardalinea-lettertype"/>
    <w:rsid w:val="008041C4"/>
  </w:style>
  <w:style w:type="paragraph" w:styleId="Voetnoottekst">
    <w:name w:val="footnote text"/>
    <w:basedOn w:val="Standaard"/>
    <w:link w:val="VoetnoottekstChar"/>
    <w:uiPriority w:val="99"/>
    <w:semiHidden/>
    <w:unhideWhenUsed/>
    <w:rsid w:val="006C25F3"/>
    <w:pPr>
      <w:spacing w:after="0" w:line="240" w:lineRule="auto"/>
    </w:pPr>
    <w:rPr>
      <w:sz w:val="20"/>
      <w:szCs w:val="20"/>
    </w:rPr>
  </w:style>
  <w:style w:type="character" w:customStyle="1" w:styleId="VoetnoottekstChar">
    <w:name w:val="Voetnoottekst Char"/>
    <w:basedOn w:val="Standaardalinea-lettertype"/>
    <w:link w:val="Voetnoottekst"/>
    <w:uiPriority w:val="99"/>
    <w:semiHidden/>
    <w:rsid w:val="006C25F3"/>
    <w:rPr>
      <w:sz w:val="20"/>
      <w:szCs w:val="20"/>
    </w:rPr>
  </w:style>
  <w:style w:type="character" w:styleId="Voetnootmarkering">
    <w:name w:val="footnote reference"/>
    <w:basedOn w:val="Standaardalinea-lettertype"/>
    <w:uiPriority w:val="99"/>
    <w:semiHidden/>
    <w:unhideWhenUsed/>
    <w:rsid w:val="006C25F3"/>
    <w:rPr>
      <w:vertAlign w:val="superscript"/>
    </w:rPr>
  </w:style>
  <w:style w:type="paragraph" w:styleId="Koptekst">
    <w:name w:val="header"/>
    <w:basedOn w:val="Standaard"/>
    <w:link w:val="KoptekstChar"/>
    <w:uiPriority w:val="99"/>
    <w:unhideWhenUsed/>
    <w:rsid w:val="00CE556E"/>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CE556E"/>
  </w:style>
  <w:style w:type="paragraph" w:styleId="Voettekst">
    <w:name w:val="footer"/>
    <w:basedOn w:val="Standaard"/>
    <w:link w:val="VoettekstChar"/>
    <w:uiPriority w:val="99"/>
    <w:unhideWhenUsed/>
    <w:rsid w:val="00CE556E"/>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CE556E"/>
  </w:style>
  <w:style w:type="paragraph" w:styleId="Normaalweb">
    <w:name w:val="Normal (Web)"/>
    <w:basedOn w:val="Standaard"/>
    <w:uiPriority w:val="99"/>
    <w:unhideWhenUsed/>
    <w:rsid w:val="00CC3A4F"/>
    <w:pPr>
      <w:spacing w:before="100" w:beforeAutospacing="1" w:after="100" w:afterAutospacing="1" w:line="240" w:lineRule="auto"/>
    </w:pPr>
    <w:rPr>
      <w:rFonts w:ascii="Times New Roman" w:eastAsia="Times New Roman" w:hAnsi="Times New Roman" w:cs="Times New Roman"/>
      <w:sz w:val="24"/>
      <w:szCs w:val="24"/>
      <w:lang w:eastAsia="nl-BE"/>
    </w:rPr>
  </w:style>
  <w:style w:type="character" w:styleId="Verwijzingopmerking">
    <w:name w:val="annotation reference"/>
    <w:basedOn w:val="Standaardalinea-lettertype"/>
    <w:uiPriority w:val="99"/>
    <w:semiHidden/>
    <w:unhideWhenUsed/>
    <w:rsid w:val="00453407"/>
    <w:rPr>
      <w:sz w:val="16"/>
      <w:szCs w:val="16"/>
    </w:rPr>
  </w:style>
  <w:style w:type="paragraph" w:styleId="Tekstopmerking">
    <w:name w:val="annotation text"/>
    <w:basedOn w:val="Standaard"/>
    <w:link w:val="TekstopmerkingChar"/>
    <w:uiPriority w:val="99"/>
    <w:semiHidden/>
    <w:unhideWhenUsed/>
    <w:rsid w:val="00453407"/>
    <w:pPr>
      <w:spacing w:line="240" w:lineRule="auto"/>
    </w:pPr>
    <w:rPr>
      <w:sz w:val="20"/>
      <w:szCs w:val="20"/>
    </w:rPr>
  </w:style>
  <w:style w:type="character" w:customStyle="1" w:styleId="TekstopmerkingChar">
    <w:name w:val="Tekst opmerking Char"/>
    <w:basedOn w:val="Standaardalinea-lettertype"/>
    <w:link w:val="Tekstopmerking"/>
    <w:uiPriority w:val="99"/>
    <w:semiHidden/>
    <w:rsid w:val="00453407"/>
    <w:rPr>
      <w:sz w:val="20"/>
      <w:szCs w:val="20"/>
    </w:rPr>
  </w:style>
  <w:style w:type="paragraph" w:styleId="Onderwerpvanopmerking">
    <w:name w:val="annotation subject"/>
    <w:basedOn w:val="Tekstopmerking"/>
    <w:next w:val="Tekstopmerking"/>
    <w:link w:val="OnderwerpvanopmerkingChar"/>
    <w:uiPriority w:val="99"/>
    <w:semiHidden/>
    <w:unhideWhenUsed/>
    <w:rsid w:val="00453407"/>
    <w:rPr>
      <w:b/>
      <w:bCs/>
    </w:rPr>
  </w:style>
  <w:style w:type="character" w:customStyle="1" w:styleId="OnderwerpvanopmerkingChar">
    <w:name w:val="Onderwerp van opmerking Char"/>
    <w:basedOn w:val="TekstopmerkingChar"/>
    <w:link w:val="Onderwerpvanopmerking"/>
    <w:uiPriority w:val="99"/>
    <w:semiHidden/>
    <w:rsid w:val="00453407"/>
    <w:rPr>
      <w:b/>
      <w:bCs/>
      <w:sz w:val="20"/>
      <w:szCs w:val="20"/>
    </w:rPr>
  </w:style>
  <w:style w:type="paragraph" w:styleId="Ballontekst">
    <w:name w:val="Balloon Text"/>
    <w:basedOn w:val="Standaard"/>
    <w:link w:val="BallontekstChar"/>
    <w:uiPriority w:val="99"/>
    <w:semiHidden/>
    <w:unhideWhenUsed/>
    <w:rsid w:val="00453407"/>
    <w:pPr>
      <w:spacing w:after="0"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453407"/>
    <w:rPr>
      <w:rFonts w:ascii="Segoe UI" w:hAnsi="Segoe UI" w:cs="Segoe UI"/>
      <w:sz w:val="18"/>
      <w:szCs w:val="18"/>
    </w:rPr>
  </w:style>
  <w:style w:type="character" w:customStyle="1" w:styleId="highlight">
    <w:name w:val="highlight"/>
    <w:basedOn w:val="Standaardalinea-lettertype"/>
    <w:rsid w:val="00CF2D65"/>
  </w:style>
  <w:style w:type="character" w:styleId="Zwaar">
    <w:name w:val="Strong"/>
    <w:basedOn w:val="Standaardalinea-lettertype"/>
    <w:uiPriority w:val="22"/>
    <w:qFormat/>
    <w:rsid w:val="00CF2D6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1606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CD6D2E-FF96-4EBC-B9B9-EF3B11DB1C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Pages>
  <Words>1505</Words>
  <Characters>8283</Characters>
  <Application>Microsoft Office Word</Application>
  <DocSecurity>0</DocSecurity>
  <Lines>69</Lines>
  <Paragraphs>19</Paragraphs>
  <ScaleCrop>false</ScaleCrop>
  <HeadingPairs>
    <vt:vector size="2" baseType="variant">
      <vt:variant>
        <vt:lpstr>Titel</vt:lpstr>
      </vt:variant>
      <vt:variant>
        <vt:i4>1</vt:i4>
      </vt:variant>
    </vt:vector>
  </HeadingPairs>
  <TitlesOfParts>
    <vt:vector size="1" baseType="lpstr">
      <vt:lpstr/>
    </vt:vector>
  </TitlesOfParts>
  <Company>UGent</Company>
  <LinksUpToDate>false</LinksUpToDate>
  <CharactersWithSpaces>9769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Femke Cathelyn</dc:creator>
  <cp:keywords/>
  <dc:description/>
  <cp:lastModifiedBy>Femke Cathelyn</cp:lastModifiedBy>
  <cp:revision>5</cp:revision>
  <dcterms:created xsi:type="dcterms:W3CDTF">2020-05-29T10:28:00Z</dcterms:created>
  <dcterms:modified xsi:type="dcterms:W3CDTF">2020-08-12T10:05:00Z</dcterms:modified>
</cp:coreProperties>
</file>