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是编译后的二进制文件</w:t>
      </w:r>
    </w:p>
    <w:p w14:paraId="5E366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16.Unity手机游戏开发时，通常如何处理不同手机的适配问题？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UGUI Canvas 如何适配，Canvas属性 UIScaleModel、ReferenceResolution、ScreenMatchModel、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https://zhuanlan.zhihu.com/p/644845905</w:t>
      </w: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https://www.zhihu.com/question/559205719/answer/3228051762</w:t>
      </w: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Socket TCP、Udp的连接的流程是怎样的，他们的区别？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27.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315595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.6pt;margin-top:24.8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https://blog.csdn.net/xiaoyaoACi/article/details/134947768</w:t>
      </w: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  <w:bookmarkStart w:id="0" w:name="_GoBack"/>
      <w:bookmarkEnd w:id="0"/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41.Unity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67BC11"/>
    <w:multiLevelType w:val="singleLevel"/>
    <w:tmpl w:val="4B67BC11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EFE734"/>
    <w:multiLevelType w:val="singleLevel"/>
    <w:tmpl w:val="7DEFE73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15E3387"/>
    <w:rsid w:val="03736067"/>
    <w:rsid w:val="03855325"/>
    <w:rsid w:val="039E565E"/>
    <w:rsid w:val="03CD1A9F"/>
    <w:rsid w:val="03E5328D"/>
    <w:rsid w:val="05785EA4"/>
    <w:rsid w:val="068838F4"/>
    <w:rsid w:val="073F0F06"/>
    <w:rsid w:val="082049E9"/>
    <w:rsid w:val="095E1B17"/>
    <w:rsid w:val="0B301291"/>
    <w:rsid w:val="0B93537C"/>
    <w:rsid w:val="0C8278CB"/>
    <w:rsid w:val="0D697F42"/>
    <w:rsid w:val="0DF73A01"/>
    <w:rsid w:val="14E37374"/>
    <w:rsid w:val="165431D1"/>
    <w:rsid w:val="17F11DA8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8B1BDE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40178DB"/>
    <w:rsid w:val="45737BDF"/>
    <w:rsid w:val="468E6891"/>
    <w:rsid w:val="491A08B0"/>
    <w:rsid w:val="49B96FE3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AE34FA5"/>
    <w:rsid w:val="5B7A771A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E04C4"/>
    <w:rsid w:val="6A8F7AEF"/>
    <w:rsid w:val="6CBC5656"/>
    <w:rsid w:val="6D390A55"/>
    <w:rsid w:val="6F525EB3"/>
    <w:rsid w:val="6FA53D5D"/>
    <w:rsid w:val="70672550"/>
    <w:rsid w:val="722F68CA"/>
    <w:rsid w:val="72686EEF"/>
    <w:rsid w:val="740B6EE0"/>
    <w:rsid w:val="759931E5"/>
    <w:rsid w:val="75A908F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2854</Words>
  <Characters>4983</Characters>
  <Lines>0</Lines>
  <Paragraphs>0</Paragraphs>
  <TotalTime>133</TotalTime>
  <ScaleCrop>false</ScaleCrop>
  <LinksUpToDate>false</LinksUpToDate>
  <CharactersWithSpaces>5173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2024-08-06T15:29:56Z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