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120" w:before="0"/>
              <w:jc w:val="center"/>
            </w:pPr>
            <w:r>
              <w:rPr>
                <w:rFonts w:ascii="Arial" w:cs="Arial" w:eastAsia="Arial" w:hAnsi="Arial"/>
                <w:b/>
                <w:bCs/>
                <w:color w:val="FFFFFF"/>
                <w:sz w:val="40"/>
                <w:szCs w:val="40"/>
              </w:rPr>
              <w:t xml:space="preserve">FORMAL PROPOSAL</w:t>
            </w:r>
          </w:p>
          <w:p>
            <w:pPr>
              <w:spacing w:after="80" w:before="0"/>
              <w:jc w:val="center"/>
            </w:pPr>
            <w:r>
              <w:rPr>
                <w:rFonts w:ascii="Arial" w:cs="Arial" w:eastAsia="Arial" w:hAnsi="Arial"/>
                <w:color w:val="BDD7EE"/>
                <w:sz w:val="24"/>
                <w:szCs w:val="24"/>
              </w:rPr>
              <w:t xml:space="preserve">Proof-of-Concept Submission — Two Priority Projects</w:t>
            </w:r>
          </w:p>
          <w:p>
            <w:pPr>
              <w:spacing w:after="0" w:before="0"/>
              <w:jc w:val="center"/>
            </w:pPr>
            <w:r>
              <w:rPr>
                <w:rFonts w:ascii="Arial" w:cs="Arial" w:eastAsia="Arial" w:hAnsi="Arial"/>
                <w:color w:val="BDD7EE"/>
                <w:sz w:val="22"/>
                <w:szCs w:val="22"/>
              </w:rPr>
              <w:t xml:space="preserve">Rourkela Steel Plant (SAIL)  |  Via MSTC Empanelment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0"/>
            </w:pPr>
            <w:r>
              <w:rPr>
                <w:rFonts w:ascii="Arial" w:cs="Arial" w:eastAsia="Arial" w:hAnsi="Arial"/>
                <w:b/>
                <w:bCs/>
                <w:color w:val="1F3864"/>
                <w:sz w:val="21"/>
                <w:szCs w:val="21"/>
              </w:rPr>
              <w:t xml:space="preserve">Context</w:t>
            </w:r>
          </w:p>
          <w:p>
            <w:pPr>
              <w:spacing w:after="40" w:before="0"/>
            </w:pPr>
            <w:r>
              <w:rPr>
                <w:rFonts w:ascii="Arial" w:cs="Arial" w:eastAsia="Arial" w:hAnsi="Arial"/>
                <w:color w:val="333333"/>
                <w:sz w:val="19"/>
                <w:szCs w:val="19"/>
              </w:rPr>
              <w:t xml:space="preserve">RSP procures 3.5–4.5 MT of coking coal per year. The CAG audit has put ₹2,539 cr excess coal spend and ₹1,231 cr lost BF production on Parliamentary record against SAIL.</w:t>
            </w:r>
          </w:p>
          <w:p>
            <w:pPr>
              <w:spacing w:after="0" w:before="40"/>
            </w:pPr>
            <w:r>
              <w:rPr>
                <w:rFonts w:ascii="Arial" w:cs="Arial" w:eastAsia="Arial" w:hAnsi="Arial"/>
                <w:color w:val="333333"/>
                <w:sz w:val="19"/>
                <w:szCs w:val="19"/>
              </w:rPr>
              <w:t xml:space="preserve">Both PoCs directly address these documented losses by extending LIQUIDMIND's EXIM intelligence products into RSP's procurement and logistics operations.</w:t>
            </w:r>
          </w:p>
        </w:tc>
        <w:tc>
          <w:tcPr>
            <w:tcW w:type="dxa" w:w="4680"/>
            <w:tcBorders>
              <w:top w:val="single" w:color="CCCCCC" w:sz="1"/>
              <w:left w:val="single" w:color="CCCCCC" w:sz="1"/>
              <w:bottom w:val="single" w:color="CCCCCC" w:sz="1"/>
              <w:right w:val="single" w:color="CCCCCC" w:sz="1"/>
            </w:tcBorders>
            <w:shd w:fill="F2F7FC" w:val="clear"/>
            <w:tcMar>
              <w:top w:type="dxa" w:w="120"/>
              <w:left w:type="dxa" w:w="160"/>
              <w:bottom w:type="dxa" w:w="120"/>
              <w:right w:type="dxa" w:w="160"/>
            </w:tcMar>
          </w:tcPr>
          <w:p>
            <w:pPr>
              <w:spacing w:after="60" w:before="0"/>
            </w:pPr>
            <w:r>
              <w:rPr>
                <w:rFonts w:ascii="Arial" w:cs="Arial" w:eastAsia="Arial" w:hAnsi="Arial"/>
                <w:b/>
                <w:bCs/>
                <w:color w:val="1F3864"/>
                <w:sz w:val="21"/>
                <w:szCs w:val="21"/>
              </w:rPr>
              <w:t xml:space="preserve">Submitted by</w:t>
            </w:r>
          </w:p>
          <w:p>
            <w:pPr>
              <w:spacing w:after="40" w:before="0"/>
            </w:pPr>
            <w:r>
              <w:rPr>
                <w:rFonts w:ascii="Arial" w:cs="Arial" w:eastAsia="Arial" w:hAnsi="Arial"/>
                <w:b/>
                <w:bCs/>
                <w:color w:val="333333"/>
                <w:sz w:val="20"/>
                <w:szCs w:val="20"/>
              </w:rPr>
              <w:t xml:space="preserve">Naveen Athresh, Founder &amp; CEO</w:t>
            </w:r>
          </w:p>
          <w:p>
            <w:pPr>
              <w:spacing w:after="40" w:before="0"/>
            </w:pPr>
            <w:r>
              <w:rPr>
                <w:rFonts w:ascii="Arial" w:cs="Arial" w:eastAsia="Arial" w:hAnsi="Arial"/>
                <w:color w:val="333333"/>
                <w:sz w:val="19"/>
                <w:szCs w:val="19"/>
              </w:rPr>
              <w:t xml:space="preserve">LIQUIDMIND®.AI</w:t>
            </w:r>
          </w:p>
          <w:p>
            <w:pPr>
              <w:spacing w:after="40" w:before="0"/>
            </w:pPr>
            <w:r>
              <w:rPr>
                <w:rFonts w:ascii="Arial" w:cs="Arial" w:eastAsia="Arial" w:hAnsi="Arial"/>
                <w:color w:val="333333"/>
                <w:sz w:val="19"/>
                <w:szCs w:val="19"/>
              </w:rPr>
              <w:t xml:space="preserve">naveen@liquidmind.ai  |  Bengaluru, Karnataka</w:t>
            </w:r>
          </w:p>
          <w:p>
            <w:pPr>
              <w:spacing w:after="40" w:before="0"/>
            </w:pPr>
            <w:r>
              <w:rPr>
                <w:rFonts w:ascii="Arial" w:cs="Arial" w:eastAsia="Arial" w:hAnsi="Arial"/>
                <w:color w:val="333333"/>
                <w:sz w:val="19"/>
                <w:szCs w:val="19"/>
              </w:rPr>
              <w:t xml:space="preserve">Empanelment: MSTC Empanelled Vendor</w:t>
            </w:r>
          </w:p>
          <w:p>
            <w:pPr>
              <w:spacing w:after="20" w:before="60"/>
            </w:pPr>
            <w:r>
              <w:rPr>
                <w:rFonts w:ascii="Arial" w:cs="Arial" w:eastAsia="Arial" w:hAnsi="Arial"/>
                <w:color w:val="555555"/>
                <w:sz w:val="18"/>
                <w:szCs w:val="18"/>
              </w:rPr>
              <w:t xml:space="preserve">Submission date: April 2026</w:t>
            </w:r>
          </w:p>
          <w:p>
            <w:pPr>
              <w:spacing w:after="0" w:before="0"/>
            </w:pPr>
            <w:r>
              <w:rPr>
                <w:rFonts w:ascii="Arial" w:cs="Arial" w:eastAsia="Arial" w:hAnsi="Arial"/>
                <w:color w:val="555555"/>
                <w:sz w:val="18"/>
                <w:szCs w:val="18"/>
              </w:rPr>
              <w:t xml:space="preserve">Proposal reference: LIQUIDMIND-RSP-PoC-2026-02</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40" w:before="40"/>
            </w:pPr>
            <w:r>
              <w:rPr>
                <w:rFonts w:ascii="Arial" w:cs="Arial" w:eastAsia="Arial" w:hAnsi="Arial"/>
                <w:b w:val="false"/>
                <w:bCs w:val="false"/>
                <w:color w:val="1F3864"/>
                <w:sz w:val="20"/>
                <w:szCs w:val="20"/>
              </w:rPr>
              <w:t xml:space="preserve">CAG-Documented Financial Impact</w:t>
            </w:r>
          </w:p>
          <w:p>
            <w:pPr>
              <w:spacing w:after="40" w:before="40"/>
            </w:pPr>
            <w:r>
              <w:rPr>
                <w:rFonts w:ascii="Arial" w:cs="Arial" w:eastAsia="Arial" w:hAnsi="Arial"/>
                <w:b w:val="false"/>
                <w:bCs w:val="false"/>
                <w:color w:val="1F3864"/>
                <w:sz w:val="20"/>
                <w:szCs w:val="20"/>
              </w:rPr>
              <w:t xml:space="preserve">₹2,539 cr excess coal spend + ₹1,231 cr lost BF production = ₹3,770 cr on Parliamentary record against SAIL.</w:t>
            </w:r>
          </w:p>
          <w:p>
            <w:pPr>
              <w:spacing w:after="40" w:before="40"/>
            </w:pPr>
            <w:r>
              <w:rPr>
                <w:rFonts w:ascii="Arial" w:cs="Arial" w:eastAsia="Arial" w:hAnsi="Arial"/>
                <w:b w:val="false"/>
                <w:bCs w:val="false"/>
                <w:color w:val="1F3864"/>
                <w:sz w:val="20"/>
                <w:szCs w:val="20"/>
              </w:rPr>
              <w:t xml:space="preserve">Both proposed PoCs are directly scoped to address these audited losses.</w:t>
            </w:r>
          </w:p>
        </w:tc>
      </w:tr>
    </w:tbl>
    <w:p>
      <w:r>
        <w:br w:type="page"/>
      </w:r>
    </w:p>
    <w:p>
      <w:pPr>
        <w:pBdr>
          <w:bottom w:val="single" w:color="2E75B6" w:sz="8" w:space="4"/>
        </w:pBdr>
        <w:spacing w:after="120" w:before="280"/>
      </w:pPr>
      <w:r>
        <w:rPr>
          <w:rFonts w:ascii="Arial" w:cs="Arial" w:eastAsia="Arial" w:hAnsi="Arial"/>
          <w:b/>
          <w:bCs/>
          <w:color w:val="1F3864"/>
          <w:sz w:val="26"/>
          <w:szCs w:val="26"/>
        </w:rPr>
        <w:t xml:space="preserve">1. Covering Note</w:t>
      </w:r>
    </w:p>
    <w:p>
      <w:pPr>
        <w:spacing w:after="80" w:before="0"/>
      </w:pPr>
    </w:p>
    <w:p>
      <w:pPr>
        <w:spacing w:after="60" w:before="60"/>
      </w:pPr>
      <w:r>
        <w:rPr>
          <w:rFonts w:ascii="Arial" w:cs="Arial" w:eastAsia="Arial" w:hAnsi="Arial"/>
          <w:b w:val="false"/>
          <w:bCs w:val="false"/>
          <w:color w:val="333333"/>
          <w:sz w:val="20"/>
          <w:szCs w:val="20"/>
        </w:rPr>
        <w:t xml:space="preserve">To the Point of Contact, Rourkela Steel Plant (SAIL),</w:t>
      </w:r>
    </w:p>
    <w:p>
      <w:pPr>
        <w:spacing w:after="80" w:before="0"/>
      </w:pPr>
    </w:p>
    <w:p>
      <w:pPr>
        <w:spacing w:after="60" w:before="60"/>
      </w:pPr>
      <w:r>
        <w:rPr>
          <w:rFonts w:ascii="Arial" w:cs="Arial" w:eastAsia="Arial" w:hAnsi="Arial"/>
          <w:b w:val="false"/>
          <w:bCs w:val="false"/>
          <w:color w:val="333333"/>
          <w:sz w:val="20"/>
          <w:szCs w:val="20"/>
        </w:rPr>
        <w:t xml:space="preserve">LIQUIDMIND®.AI is pleased to submit this formal Proof-of-Concept proposal for two priority projects aligned to RSP's documented operational and logistics challenges — both of which have been quantified and placed on Parliamentary record via the CAG audit against SAIL.</w:t>
      </w:r>
    </w:p>
    <w:p>
      <w:pPr>
        <w:spacing w:after="80" w:before="0"/>
      </w:pPr>
    </w:p>
    <w:p>
      <w:pPr>
        <w:spacing w:after="60" w:before="60"/>
      </w:pPr>
      <w:r>
        <w:rPr>
          <w:rFonts w:ascii="Arial" w:cs="Arial" w:eastAsia="Arial" w:hAnsi="Arial"/>
          <w:b w:val="false"/>
          <w:bCs w:val="false"/>
          <w:color w:val="333333"/>
          <w:sz w:val="20"/>
          <w:szCs w:val="20"/>
        </w:rPr>
        <w:t xml:space="preserve">LIQUIDMIND®.AI is a Bengaluru-based Agentic Artificial Intelligence product company focused on automating Export–Import (EXIM) workflows across document flow, funds flow, and goods flow. Our production-grade products — TradeGuard AI, Patram AI, and TariffIQ — are in active use by exporters, importers, customs brokers, and trade compliance teams. We are MSTC-empanelled, DPIIT Startup India recognised, Aegis Graham Bell Award 2026 winners under the Ministry of Electronics and Information Technology, and members of the NVIDIA Inception, AWS Activate, Microsoft for Startups, and NASSCOM Centre of Excellence programmes.</w:t>
      </w:r>
    </w:p>
    <w:p>
      <w:pPr>
        <w:spacing w:after="80" w:before="0"/>
      </w:pPr>
    </w:p>
    <w:p>
      <w:pPr>
        <w:spacing w:after="60" w:before="60"/>
      </w:pPr>
      <w:r>
        <w:rPr>
          <w:rFonts w:ascii="Arial" w:cs="Arial" w:eastAsia="Arial" w:hAnsi="Arial"/>
          <w:b w:val="false"/>
          <w:bCs w:val="false"/>
          <w:color w:val="333333"/>
          <w:sz w:val="20"/>
          <w:szCs w:val="20"/>
        </w:rPr>
        <w:t xml:space="preserve">The two projects proposed in this submission address RSP's two specific, CAG-documented operational gaps:</w:t>
      </w:r>
    </w:p>
    <w:p>
      <w:pPr>
        <w:spacing w:after="60" w:before="0"/>
      </w:pPr>
    </w:p>
    <w:p>
      <w:pPr>
        <w:pStyle w:val="ListParagraph"/>
        <w:numPr>
          <w:ilvl w:val="0"/>
          <w:numId w:val="2"/>
        </w:numPr>
        <w:spacing w:after="40" w:before="40"/>
      </w:pPr>
      <w:r>
        <w:rPr>
          <w:rFonts w:ascii="Arial" w:cs="Arial" w:eastAsia="Arial" w:hAnsi="Arial"/>
          <w:color w:val="333333"/>
          <w:sz w:val="20"/>
          <w:szCs w:val="20"/>
        </w:rPr>
        <w:t xml:space="preserve">PS1 — Procurement Stock-out Risk Predictor: AI/ML-powered stock-out risk simulation for critical spare parts and raw materials, covering consumption patterns, lead times, supplier performance, and ERP integration — addressing procurement inefficiency directly linked to the ₹2,539 cr excess spend finding.</w:t>
      </w:r>
    </w:p>
    <w:p>
      <w:pPr>
        <w:pStyle w:val="ListParagraph"/>
        <w:numPr>
          <w:ilvl w:val="0"/>
          <w:numId w:val="2"/>
        </w:numPr>
        <w:spacing w:after="40" w:before="40"/>
      </w:pPr>
      <w:r>
        <w:rPr>
          <w:rFonts w:ascii="Arial" w:cs="Arial" w:eastAsia="Arial" w:hAnsi="Arial"/>
          <w:color w:val="333333"/>
          <w:sz w:val="20"/>
          <w:szCs w:val="20"/>
        </w:rPr>
        <w:t xml:space="preserve">PS2 — Live Rake Movement Dashboard: Real-time GPS-integrated dashboard for tracking rake movement across yards and sidings, with intelligent prioritisation and alerts — addressing supply disruption risks linked to the ₹1,231 cr lost BF production finding.</w:t>
      </w:r>
    </w:p>
    <w:p>
      <w:pPr>
        <w:spacing w:after="80" w:before="0"/>
      </w:pPr>
    </w:p>
    <w:p>
      <w:pPr>
        <w:spacing w:after="60" w:before="60"/>
      </w:pPr>
      <w:r>
        <w:rPr>
          <w:rFonts w:ascii="Arial" w:cs="Arial" w:eastAsia="Arial" w:hAnsi="Arial"/>
          <w:b w:val="false"/>
          <w:bCs w:val="false"/>
          <w:color w:val="333333"/>
          <w:sz w:val="20"/>
          <w:szCs w:val="20"/>
        </w:rPr>
        <w:t xml:space="preserve">Both products are in production today. The PoC runs on RSP's own data in 4–6 weeks, with payment only on acceptance. Risk to RSP = zero.</w:t>
      </w:r>
    </w:p>
    <w:p>
      <w:pPr>
        <w:spacing w:after="80" w:before="0"/>
      </w:pPr>
    </w:p>
    <w:p>
      <w:pPr>
        <w:spacing w:after="60" w:before="60"/>
      </w:pPr>
      <w:r>
        <w:rPr>
          <w:rFonts w:ascii="Arial" w:cs="Arial" w:eastAsia="Arial" w:hAnsi="Arial"/>
          <w:b w:val="false"/>
          <w:bCs w:val="false"/>
          <w:color w:val="333333"/>
          <w:sz w:val="20"/>
          <w:szCs w:val="20"/>
        </w:rPr>
        <w:t xml:space="preserve">We are available at naveen@liquidmind.ai for any clarifications.</w:t>
      </w:r>
    </w:p>
    <w:p>
      <w:pPr>
        <w:spacing w:after="120" w:before="0"/>
      </w:pPr>
    </w:p>
    <w:p>
      <w:pPr>
        <w:spacing w:after="60" w:before="60"/>
      </w:pPr>
      <w:r>
        <w:rPr>
          <w:rFonts w:ascii="Arial" w:cs="Arial" w:eastAsia="Arial" w:hAnsi="Arial"/>
          <w:b/>
          <w:bCs/>
          <w:color w:val="333333"/>
          <w:sz w:val="20"/>
          <w:szCs w:val="20"/>
        </w:rPr>
        <w:t xml:space="preserve">Naveen Athresh</w:t>
      </w:r>
    </w:p>
    <w:p>
      <w:pPr>
        <w:spacing w:after="60" w:before="60"/>
      </w:pPr>
      <w:r>
        <w:rPr>
          <w:rFonts w:ascii="Arial" w:cs="Arial" w:eastAsia="Arial" w:hAnsi="Arial"/>
          <w:b w:val="false"/>
          <w:bCs w:val="false"/>
          <w:color w:val="333333"/>
          <w:sz w:val="20"/>
          <w:szCs w:val="20"/>
        </w:rPr>
        <w:t xml:space="preserve">Founder &amp; CEO, LIQUIDMIND®.AI</w:t>
      </w:r>
    </w:p>
    <w:p>
      <w:r>
        <w:br w:type="page"/>
      </w:r>
    </w:p>
    <w:p>
      <w:pPr>
        <w:pBdr>
          <w:bottom w:val="single" w:color="2E75B6" w:sz="8" w:space="4"/>
        </w:pBdr>
        <w:spacing w:after="120" w:before="280"/>
      </w:pPr>
      <w:r>
        <w:rPr>
          <w:rFonts w:ascii="Arial" w:cs="Arial" w:eastAsia="Arial" w:hAnsi="Arial"/>
          <w:b/>
          <w:bCs/>
          <w:color w:val="1F3864"/>
          <w:sz w:val="26"/>
          <w:szCs w:val="26"/>
        </w:rPr>
        <w:t xml:space="preserve">2. RSP Context and Problem Statements</w:t>
      </w:r>
    </w:p>
    <w:p>
      <w:pPr>
        <w:spacing w:after="60" w:before="0"/>
      </w:pPr>
    </w:p>
    <w:p>
      <w:pPr>
        <w:spacing w:after="80" w:before="180"/>
      </w:pPr>
      <w:r>
        <w:rPr>
          <w:rFonts w:ascii="Arial" w:cs="Arial" w:eastAsia="Arial" w:hAnsi="Arial"/>
          <w:b/>
          <w:bCs/>
          <w:color w:val="2E75B6"/>
          <w:sz w:val="22"/>
          <w:szCs w:val="22"/>
        </w:rPr>
        <w:t xml:space="preserve">2.1 Scale of RSP's import and logistics operations</w:t>
      </w:r>
    </w:p>
    <w:p>
      <w:pPr>
        <w:spacing w:after="60" w:before="60"/>
      </w:pPr>
      <w:r>
        <w:rPr>
          <w:rFonts w:ascii="Arial" w:cs="Arial" w:eastAsia="Arial" w:hAnsi="Arial"/>
          <w:b w:val="false"/>
          <w:bCs w:val="false"/>
          <w:color w:val="333333"/>
          <w:sz w:val="20"/>
          <w:szCs w:val="20"/>
        </w:rPr>
        <w:t xml:space="preserve">Rourkela Steel Plant imports 3.5–4.5 MT of coking coal per year at a total landed cost of ₹7,000–12,000 crore, making RSP one of the largest single-plant coking coal importers in India. This dependence on imported raw materials means procurement intelligence and logistics coordination are mission-critical — any stock disruption or fleet idle time directly impacts blast furnace productivity.</w:t>
      </w:r>
    </w:p>
    <w:p>
      <w:pPr>
        <w:spacing w:after="80" w:before="0"/>
      </w:pPr>
    </w:p>
    <w:p>
      <w:pPr>
        <w:spacing w:after="80" w:before="180"/>
      </w:pPr>
      <w:r>
        <w:rPr>
          <w:rFonts w:ascii="Arial" w:cs="Arial" w:eastAsia="Arial" w:hAnsi="Arial"/>
          <w:b/>
          <w:bCs/>
          <w:color w:val="2E75B6"/>
          <w:sz w:val="22"/>
          <w:szCs w:val="22"/>
        </w:rPr>
        <w:t xml:space="preserve">2.2 CAG-documented losses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980"/>
        <w:gridCol w:w="288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CAG Finding</w:t>
            </w:r>
          </w:p>
        </w:tc>
        <w:tc>
          <w:tcPr>
            <w:tcW w:type="dxa" w:w="1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PoC Addressed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Excess coal procurement spend above market benchmark</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₹2,539 cr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PS1 — Stock-out Risk Predictor</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Lost BF production due to supply chain / logistics disruptions</w:t>
            </w:r>
          </w:p>
        </w:tc>
        <w:tc>
          <w:tcPr>
            <w:tcW w:type="dxa" w:w="1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₹1,231 cr</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PS2 — Rake Movement Dashboard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Total on Parliamentary record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₹3,770 cr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Both PoCs combined</w:t>
            </w:r>
          </w:p>
        </w:tc>
      </w:tr>
    </w:tbl>
    <w:p>
      <w:pPr>
        <w:spacing w:after="120" w:before="0"/>
      </w:pPr>
    </w:p>
    <w:p>
      <w:pPr>
        <w:spacing w:after="80" w:before="180"/>
      </w:pPr>
      <w:r>
        <w:rPr>
          <w:rFonts w:ascii="Arial" w:cs="Arial" w:eastAsia="Arial" w:hAnsi="Arial"/>
          <w:b/>
          <w:bCs/>
          <w:color w:val="2E75B6"/>
          <w:sz w:val="22"/>
          <w:szCs w:val="22"/>
        </w:rPr>
        <w:t xml:space="preserve">2.3 Two problem statements selected</w:t>
      </w:r>
    </w:p>
    <w:p>
      <w:pPr>
        <w:spacing w:after="60" w:before="60"/>
      </w:pPr>
      <w:r>
        <w:rPr>
          <w:rFonts w:ascii="Arial" w:cs="Arial" w:eastAsia="Arial" w:hAnsi="Arial"/>
          <w:b w:val="false"/>
          <w:bCs w:val="false"/>
          <w:color w:val="333333"/>
          <w:sz w:val="20"/>
          <w:szCs w:val="20"/>
        </w:rPr>
        <w:t xml:space="preserve">LIQUIDMIND has identified two problem statements from the broader RSP digital intervention list where its production-ready EXIM intelligence products deliver direct, measurable impact against the CAG-documented losses:</w:t>
      </w:r>
    </w:p>
    <w:p>
      <w:pPr>
        <w:spacing w:after="60" w:before="0"/>
      </w:pPr>
    </w:p>
    <w:p>
      <w:pPr>
        <w:pStyle w:val="ListParagraph"/>
        <w:numPr>
          <w:ilvl w:val="0"/>
          <w:numId w:val="2"/>
        </w:numPr>
        <w:spacing w:after="40" w:before="40"/>
      </w:pPr>
      <w:r>
        <w:rPr>
          <w:rFonts w:ascii="Arial" w:cs="Arial" w:eastAsia="Arial" w:hAnsi="Arial"/>
          <w:color w:val="333333"/>
          <w:sz w:val="20"/>
          <w:szCs w:val="20"/>
        </w:rPr>
        <w:t xml:space="preserve">PS1 — Stock-out Risk Predictor (TradeGuard AI + Patram AI): AI/ML models to simulate stock-out risk for critical parts and raw materials based on consumption patterns, supplier lead times, and ERP data — enabling proactive procurement and import cycle optimisation.</w:t>
      </w:r>
    </w:p>
    <w:p>
      <w:pPr>
        <w:pStyle w:val="ListParagraph"/>
        <w:numPr>
          <w:ilvl w:val="0"/>
          <w:numId w:val="2"/>
        </w:numPr>
        <w:spacing w:after="40" w:before="40"/>
      </w:pPr>
      <w:r>
        <w:rPr>
          <w:rFonts w:ascii="Arial" w:cs="Arial" w:eastAsia="Arial" w:hAnsi="Arial"/>
          <w:color w:val="333333"/>
          <w:sz w:val="20"/>
          <w:szCs w:val="20"/>
        </w:rPr>
        <w:t xml:space="preserve">PS2 — Live Rake Movement Dashboard (TradeVeda + event-driven pipeline): Real-time GPS-integrated dashboard for live tracking of rakes across yards and sidings, with intelligent prioritisation, ETA visibility, and automated alerts for idle time and bottlenecks.</w:t>
      </w:r>
    </w:p>
    <w:p>
      <w:r>
        <w:br w:type="page"/>
      </w:r>
    </w:p>
    <w:p>
      <w:pPr>
        <w:pBdr>
          <w:bottom w:val="single" w:color="2E75B6" w:sz="8" w:space="4"/>
        </w:pBdr>
        <w:spacing w:after="120" w:before="280"/>
      </w:pPr>
      <w:r>
        <w:rPr>
          <w:rFonts w:ascii="Arial" w:cs="Arial" w:eastAsia="Arial" w:hAnsi="Arial"/>
          <w:b/>
          <w:bCs/>
          <w:color w:val="1F3864"/>
          <w:sz w:val="26"/>
          <w:szCs w:val="26"/>
        </w:rPr>
        <w:t xml:space="preserve">3. Submission in Prescribed Format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400"/>
        <w:gridCol w:w="1080"/>
        <w:gridCol w:w="128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PoC Deliverables</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(incl. GST)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Stock-out Risk Predictor
(PS1 — TradeGuard AI + Patram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AI/ML-powered stock-out risk simulation platform built on LIQUIDMIND's TradeGuard AI and Patram AI. Ingests RSP's ERP consumption data, purchase orders, supplier lead time records, and import cycle history. Delivers criticality-based part classification, dynamic safety stock recommendations, what-if scenario simulation, real-time alerts for high-risk items, and automated purchase trigger recommendations.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 AI risk model deployed on RSP consumption and lead time data.
(b) Criticality classification of top 200 critical parts.
(c) Real-time stock-out risk dashboard with alert engine.
(d) What-if scenario planner (supplier delay, demand spike).
(e) Dynamic safety stock recommendation report.
(f) ERP integration blueprint and trigger logic.
(g) User training for 5–10 procurement team members.
(h) Acceptance-test sign-off documentation.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30–45 working days from PoC kick-off.</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6,00,000 to 8,00,000 + GST at 18%.
All-inclusive: software, Azure cloud compute, training, deployment, on-site demonstration, documentation. No hardware required. Payment after acceptance.</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Live Rake Movement Dashboard
(PS2 — TradeVeda + Event Pipeline)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Real-time GPS-integrated rake tracking platform built on LIQUIDMIND's event-driven data pipeline and TradeVeda logistics intelligence layer. Ingests live GPS feeds, yard allocation data, and material manifest records. Delivers continuous rake visibility across Paradip, Haldia, and Vizag sidings, intelligent prioritisation engine, TAT analytics, and automated delay alerts — reducing idle time and protecting BF feed continuity.</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 Real-time rake tracking dashboard integrated with GPS data feeds.
(b) Intelligent prioritisation and allocation engine for incoming rakes.
(c) Rake details tracking (material type, quantity, source, ETA).
(d) Automated alerts for idle time, delays, and bottlenecks.
(e) Historical TAT analysis on 3 months of RSP movement data.
(f) Integration blueprint for SAP/MES and GPS tracking system.
(g) User training for traffic and procurement coordination teams.
(h) Acceptance-test sign-off documentation.</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45–60 working days from PoC kick-off.</w:t>
            </w:r>
          </w:p>
        </w:tc>
        <w:tc>
          <w:tcPr>
            <w:tcW w:type="dxa" w:w="12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9,00,000 to 12,00,000 + GST at 18%.
All-inclusive: software, Azure cloud compute, training, deployment, on-site demonstration, documentation. No hardware required. Payment after acceptance.</w:t>
            </w:r>
          </w:p>
        </w:tc>
      </w:tr>
    </w:tbl>
    <w:p>
      <w:pPr>
        <w:spacing w:after="120" w:before="0"/>
      </w:pPr>
    </w:p>
    <w:p>
      <w:pPr>
        <w:spacing w:after="60" w:before="60"/>
      </w:pPr>
      <w:r>
        <w:rPr>
          <w:rFonts w:ascii="Arial" w:cs="Arial" w:eastAsia="Arial" w:hAnsi="Arial"/>
          <w:b w:val="false"/>
          <w:bCs w:val="false"/>
          <w:color w:val="555555"/>
          <w:sz w:val="20"/>
          <w:szCs w:val="20"/>
        </w:rPr>
        <w:t xml:space="preserve">Note on payment terms: Payment for each Proof-of-Concept will be released after acceptance of PoC deliverables by RSP. LIQUIDMIND proposes a standard milestone structure of 30% on PoC kick-off, 40% on mid-pilot milestone demonstration, and 30% on final acceptance sign-off. LIQUIDMIND is DPIIT Startup India recognised and is therefore exempt from the INR 1,00,000 MSTC processing fee.</w:t>
      </w:r>
    </w:p>
    <w:p>
      <w:r>
        <w:br w:type="page"/>
      </w:r>
    </w:p>
    <w:p>
      <w:pPr>
        <w:pBdr>
          <w:bottom w:val="single" w:color="2E75B6" w:sz="8" w:space="4"/>
        </w:pBdr>
        <w:spacing w:after="120" w:before="280"/>
      </w:pPr>
      <w:r>
        <w:rPr>
          <w:rFonts w:ascii="Arial" w:cs="Arial" w:eastAsia="Arial" w:hAnsi="Arial"/>
          <w:b/>
          <w:bCs/>
          <w:color w:val="1F3864"/>
          <w:sz w:val="26"/>
          <w:szCs w:val="26"/>
        </w:rPr>
        <w:t xml:space="preserve">4. Project 1 — Stock-out Risk Predictor (PS1)</w:t>
      </w:r>
    </w:p>
    <w:p>
      <w:pPr>
        <w:spacing w:after="60" w:before="0"/>
      </w:pPr>
    </w:p>
    <w:p>
      <w:pPr>
        <w:spacing w:after="80" w:before="180"/>
      </w:pPr>
      <w:r>
        <w:rPr>
          <w:rFonts w:ascii="Arial" w:cs="Arial" w:eastAsia="Arial" w:hAnsi="Arial"/>
          <w:b/>
          <w:bCs/>
          <w:color w:val="2E75B6"/>
          <w:sz w:val="22"/>
          <w:szCs w:val="22"/>
        </w:rPr>
        <w:t xml:space="preserve">4.1 Problem statement addressed</w:t>
      </w:r>
    </w:p>
    <w:p>
      <w:pPr>
        <w:spacing w:after="60" w:before="60"/>
      </w:pPr>
      <w:r>
        <w:rPr>
          <w:rFonts w:ascii="Arial" w:cs="Arial" w:eastAsia="Arial" w:hAnsi="Arial"/>
          <w:b w:val="false"/>
          <w:bCs w:val="false"/>
          <w:color w:val="333333"/>
          <w:sz w:val="20"/>
          <w:szCs w:val="20"/>
        </w:rPr>
        <w:t xml:space="preserve">Category: Procurement Intelligence — Critical Parts &amp; Raw Materials</w:t>
      </w:r>
    </w:p>
    <w:p>
      <w:pPr>
        <w:spacing w:after="60" w:before="0"/>
      </w:pPr>
    </w:p>
    <w:p>
      <w:pPr>
        <w:spacing w:after="60" w:before="60"/>
      </w:pPr>
      <w:r>
        <w:rPr>
          <w:rFonts w:ascii="Arial" w:cs="Arial" w:eastAsia="Arial" w:hAnsi="Arial"/>
          <w:b w:val="false"/>
          <w:bCs w:val="false"/>
          <w:color w:val="333333"/>
          <w:sz w:val="20"/>
          <w:szCs w:val="20"/>
        </w:rPr>
        <w:t xml:space="preserve">Problem: RSP's procurement teams currently manage critical spare parts and raw material replenishment using static safety stock norms and manual consumption tracking. With 15–20 import shipments per year for coking coal alone, and hundreds of critical maintenance parts sourced from domestic and international suppliers, any misalignment between consumption velocity, supplier lead times, and stock levels creates stock-out risk. The CAG audit finding of ₹2,539 cr excess coal spend points directly to an absence of dynamic procurement intelligence — orders are placed on static schedules rather than responsive to real-time consumption and supplier performance signals.</w:t>
      </w:r>
    </w:p>
    <w:p>
      <w:pPr>
        <w:spacing w:after="80" w:before="0"/>
      </w:pPr>
    </w:p>
    <w:p>
      <w:pPr>
        <w:spacing w:after="80" w:before="180"/>
      </w:pPr>
      <w:r>
        <w:rPr>
          <w:rFonts w:ascii="Arial" w:cs="Arial" w:eastAsia="Arial" w:hAnsi="Arial"/>
          <w:b/>
          <w:bCs/>
          <w:color w:val="2E75B6"/>
          <w:sz w:val="22"/>
          <w:szCs w:val="22"/>
        </w:rPr>
        <w:t xml:space="preserve">4.2 Customer outcome</w:t>
      </w:r>
    </w:p>
    <w:p>
      <w:pPr>
        <w:spacing w:after="60" w:before="60"/>
      </w:pPr>
      <w:r>
        <w:rPr>
          <w:rFonts w:ascii="Arial" w:cs="Arial" w:eastAsia="Arial" w:hAnsi="Arial"/>
          <w:b w:val="false"/>
          <w:bCs w:val="false"/>
          <w:color w:val="333333"/>
          <w:sz w:val="20"/>
          <w:szCs w:val="20"/>
        </w:rPr>
        <w:t xml:space="preserve">An RSP procurement officer should be able to ask: Which critical parts are at high stock-out risk over the next 30 days? Which suppliers have deteriorating lead time performance? What happens to our safety stock position if Supplier X delays by 2 weeks? — and receive a sourced, data-backed answer within seconds, enabling proactive order placement before stock-out occurs rather than reactive emergency procurement at inflated cost.</w:t>
      </w:r>
    </w:p>
    <w:p>
      <w:pPr>
        <w:spacing w:after="80" w:before="0"/>
      </w:pPr>
    </w:p>
    <w:p>
      <w:pPr>
        <w:spacing w:after="80" w:before="180"/>
      </w:pPr>
      <w:r>
        <w:rPr>
          <w:rFonts w:ascii="Arial" w:cs="Arial" w:eastAsia="Arial" w:hAnsi="Arial"/>
          <w:b/>
          <w:bCs/>
          <w:color w:val="2E75B6"/>
          <w:sz w:val="22"/>
          <w:szCs w:val="22"/>
        </w:rPr>
        <w:t xml:space="preserve">4.3 How LIQUIDMIND will deliver this</w:t>
      </w:r>
    </w:p>
    <w:p>
      <w:pPr>
        <w:spacing w:after="60" w:before="60"/>
      </w:pPr>
      <w:r>
        <w:rPr>
          <w:rFonts w:ascii="Arial" w:cs="Arial" w:eastAsia="Arial" w:hAnsi="Arial"/>
          <w:b w:val="false"/>
          <w:bCs w:val="false"/>
          <w:color w:val="333333"/>
          <w:sz w:val="20"/>
          <w:szCs w:val="20"/>
        </w:rPr>
        <w:t xml:space="preserve">LIQUIDMIND will configure TradeGuard AI and Patram AI — its production-grade trade document intelligence and compliance platforms — for RSP's procurement risk use case:</w:t>
      </w:r>
    </w:p>
    <w:p>
      <w:pPr>
        <w:spacing w:after="60" w:before="0"/>
      </w:pPr>
    </w:p>
    <w:p>
      <w:pPr>
        <w:pStyle w:val="ListParagraph"/>
        <w:numPr>
          <w:ilvl w:val="0"/>
          <w:numId w:val="2"/>
        </w:numPr>
        <w:spacing w:after="40" w:before="40"/>
      </w:pPr>
      <w:r>
        <w:rPr>
          <w:rFonts w:ascii="Arial" w:cs="Arial" w:eastAsia="Arial" w:hAnsi="Arial"/>
          <w:color w:val="333333"/>
          <w:sz w:val="20"/>
          <w:szCs w:val="20"/>
        </w:rPr>
        <w:t xml:space="preserve">Re-indexing of Patram AI's retrieval corpus onto RSP's purchase order history, consumption records, supplier performance data, and import Bill of Entry archives — no new model training required.</w:t>
      </w:r>
    </w:p>
    <w:p>
      <w:pPr>
        <w:pStyle w:val="ListParagraph"/>
        <w:numPr>
          <w:ilvl w:val="0"/>
          <w:numId w:val="2"/>
        </w:numPr>
        <w:spacing w:after="40" w:before="40"/>
      </w:pPr>
      <w:r>
        <w:rPr>
          <w:rFonts w:ascii="Arial" w:cs="Arial" w:eastAsia="Arial" w:hAnsi="Arial"/>
          <w:color w:val="333333"/>
          <w:sz w:val="20"/>
          <w:szCs w:val="20"/>
        </w:rPr>
        <w:t xml:space="preserve">AI/ML risk simulation engine modelling stock-out probability based on consumption velocity, reorder lead time, and supplier reliability score per item.</w:t>
      </w:r>
    </w:p>
    <w:p>
      <w:pPr>
        <w:pStyle w:val="ListParagraph"/>
        <w:numPr>
          <w:ilvl w:val="0"/>
          <w:numId w:val="2"/>
        </w:numPr>
        <w:spacing w:after="40" w:before="40"/>
      </w:pPr>
      <w:r>
        <w:rPr>
          <w:rFonts w:ascii="Arial" w:cs="Arial" w:eastAsia="Arial" w:hAnsi="Arial"/>
          <w:color w:val="333333"/>
          <w:sz w:val="20"/>
          <w:szCs w:val="20"/>
        </w:rPr>
        <w:t xml:space="preserve">Criticality-based classification of RSP's top 200 critical parts and raw materials into high / medium / low risk tiers.</w:t>
      </w:r>
    </w:p>
    <w:p>
      <w:pPr>
        <w:pStyle w:val="ListParagraph"/>
        <w:numPr>
          <w:ilvl w:val="0"/>
          <w:numId w:val="2"/>
        </w:numPr>
        <w:spacing w:after="40" w:before="40"/>
      </w:pPr>
      <w:r>
        <w:rPr>
          <w:rFonts w:ascii="Arial" w:cs="Arial" w:eastAsia="Arial" w:hAnsi="Arial"/>
          <w:color w:val="333333"/>
          <w:sz w:val="20"/>
          <w:szCs w:val="20"/>
        </w:rPr>
        <w:t xml:space="preserve">Real-time stock-out risk dashboard with configurable alert thresholds for procurement team action.</w:t>
      </w:r>
    </w:p>
    <w:p>
      <w:pPr>
        <w:pStyle w:val="ListParagraph"/>
        <w:numPr>
          <w:ilvl w:val="0"/>
          <w:numId w:val="2"/>
        </w:numPr>
        <w:spacing w:after="40" w:before="40"/>
      </w:pPr>
      <w:r>
        <w:rPr>
          <w:rFonts w:ascii="Arial" w:cs="Arial" w:eastAsia="Arial" w:hAnsi="Arial"/>
          <w:color w:val="333333"/>
          <w:sz w:val="20"/>
          <w:szCs w:val="20"/>
        </w:rPr>
        <w:t xml:space="preserve">What-if scenario planner: simulate impact of supplier delay, demand spike, or import shipment slippage on safety stock position.</w:t>
      </w:r>
    </w:p>
    <w:p>
      <w:pPr>
        <w:pStyle w:val="ListParagraph"/>
        <w:numPr>
          <w:ilvl w:val="0"/>
          <w:numId w:val="2"/>
        </w:numPr>
        <w:spacing w:after="40" w:before="40"/>
      </w:pPr>
      <w:r>
        <w:rPr>
          <w:rFonts w:ascii="Arial" w:cs="Arial" w:eastAsia="Arial" w:hAnsi="Arial"/>
          <w:color w:val="333333"/>
          <w:sz w:val="20"/>
          <w:szCs w:val="20"/>
        </w:rPr>
        <w:t xml:space="preserve">Dynamic safety stock recommendation engine replacing static norms with rolling, data-driven reorder points.</w:t>
      </w:r>
    </w:p>
    <w:p>
      <w:pPr>
        <w:pStyle w:val="ListParagraph"/>
        <w:numPr>
          <w:ilvl w:val="0"/>
          <w:numId w:val="2"/>
        </w:numPr>
        <w:spacing w:after="40" w:before="40"/>
      </w:pPr>
      <w:r>
        <w:rPr>
          <w:rFonts w:ascii="Arial" w:cs="Arial" w:eastAsia="Arial" w:hAnsi="Arial"/>
          <w:color w:val="333333"/>
          <w:sz w:val="20"/>
          <w:szCs w:val="20"/>
        </w:rPr>
        <w:t xml:space="preserve">ERP integration blueprint with automated purchase trigger logic for SAP or equivalent system at RSP.</w:t>
      </w:r>
    </w:p>
    <w:p>
      <w:pPr>
        <w:pStyle w:val="ListParagraph"/>
        <w:numPr>
          <w:ilvl w:val="0"/>
          <w:numId w:val="2"/>
        </w:numPr>
        <w:spacing w:after="40" w:before="40"/>
      </w:pPr>
      <w:r>
        <w:rPr>
          <w:rFonts w:ascii="Arial" w:cs="Arial" w:eastAsia="Arial" w:hAnsi="Arial"/>
          <w:color w:val="333333"/>
          <w:sz w:val="20"/>
          <w:szCs w:val="20"/>
        </w:rPr>
        <w:t xml:space="preserve">Safeguarded data-access design: pilot begins with public import data (ICEGATE/DGFT); RSP internal ERP data is incorporated once NDA clearances are complete — timeline not blocked by administrative delays.</w:t>
      </w:r>
    </w:p>
    <w:p>
      <w:pPr>
        <w:spacing w:after="100" w:before="0"/>
      </w:pPr>
    </w:p>
    <w:p>
      <w:pPr>
        <w:spacing w:after="80" w:before="180"/>
      </w:pPr>
      <w:r>
        <w:rPr>
          <w:rFonts w:ascii="Arial" w:cs="Arial" w:eastAsia="Arial" w:hAnsi="Arial"/>
          <w:b/>
          <w:bCs/>
          <w:color w:val="2E75B6"/>
          <w:sz w:val="22"/>
          <w:szCs w:val="22"/>
        </w:rPr>
        <w:t xml:space="preserve">4.4 Estimated business value to RSP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Driver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Impact</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Emergency procurement cost eliminated (reactive orders at 15–25%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₹80–140 cr/year</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Excess stock carrying cost reduced (working capital freed from over-ordering)</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₹40–70 cr/year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Analyst time saved on manual consumption tracking and stock reviews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900–1,400 hrs/year</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BF production protection from raw material stock-out prevention</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₹8–12 cr/BF day protected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Supplier lead time improvement from performance visibility and early alerts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10–15% lead time reduction</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Combined L2 + L3 impact</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₹120–210 cr/year</w:t>
            </w:r>
          </w:p>
        </w:tc>
      </w:tr>
    </w:tbl>
    <w:p>
      <w:r>
        <w:br w:type="page"/>
      </w:r>
    </w:p>
    <w:p>
      <w:pPr>
        <w:pBdr>
          <w:bottom w:val="single" w:color="2E75B6" w:sz="8" w:space="4"/>
        </w:pBdr>
        <w:spacing w:after="120" w:before="280"/>
      </w:pPr>
      <w:r>
        <w:rPr>
          <w:rFonts w:ascii="Arial" w:cs="Arial" w:eastAsia="Arial" w:hAnsi="Arial"/>
          <w:b/>
          <w:bCs/>
          <w:color w:val="1F3864"/>
          <w:sz w:val="26"/>
          <w:szCs w:val="26"/>
        </w:rPr>
        <w:t xml:space="preserve">5. Project 2 — Live Rake Movement Dashboard (PS2)</w:t>
      </w:r>
    </w:p>
    <w:p>
      <w:pPr>
        <w:spacing w:after="60" w:before="0"/>
      </w:pPr>
    </w:p>
    <w:p>
      <w:pPr>
        <w:spacing w:after="80" w:before="180"/>
      </w:pPr>
      <w:r>
        <w:rPr>
          <w:rFonts w:ascii="Arial" w:cs="Arial" w:eastAsia="Arial" w:hAnsi="Arial"/>
          <w:b/>
          <w:bCs/>
          <w:color w:val="2E75B6"/>
          <w:sz w:val="22"/>
          <w:szCs w:val="22"/>
        </w:rPr>
        <w:t xml:space="preserve">5.1 Problem statement addressed</w:t>
      </w:r>
    </w:p>
    <w:p>
      <w:pPr>
        <w:spacing w:after="60" w:before="60"/>
      </w:pPr>
      <w:r>
        <w:rPr>
          <w:rFonts w:ascii="Arial" w:cs="Arial" w:eastAsia="Arial" w:hAnsi="Arial"/>
          <w:b w:val="false"/>
          <w:bCs w:val="false"/>
          <w:color w:val="333333"/>
          <w:sz w:val="20"/>
          <w:szCs w:val="20"/>
        </w:rPr>
        <w:t xml:space="preserve">Category: Logistics Intelligence — Raw Materials &amp; Freight</w:t>
      </w:r>
    </w:p>
    <w:p>
      <w:pPr>
        <w:spacing w:after="60" w:before="0"/>
      </w:pPr>
    </w:p>
    <w:p>
      <w:pPr>
        <w:spacing w:after="60" w:before="60"/>
      </w:pPr>
      <w:r>
        <w:rPr>
          <w:rFonts w:ascii="Arial" w:cs="Arial" w:eastAsia="Arial" w:hAnsi="Arial"/>
          <w:b w:val="false"/>
          <w:bCs w:val="false"/>
          <w:color w:val="333333"/>
          <w:sz w:val="20"/>
          <w:szCs w:val="20"/>
        </w:rPr>
        <w:t xml:space="preserve">Problem: RSP currently has limited real-time visibility into rake movement across its receiving yards and sidings. Rakes carrying coking coal and other raw materials from Paradip, Haldia, and Vizag ports travel on schedules that are tracked manually — via phone calls to freight forwarders, yard supervisors, and railway officials. This opacity leads to 3–5 days of avoidable idle time per rake, unplanned BF feed interruptions, and coordination bottlenecks between traffic, procurement, and plant operations teams. The CAG audit finding of ₹1,231 cr lost BF production is directly attributable to supply chain disruptions that better logistics visibility would have prevented.</w:t>
      </w:r>
    </w:p>
    <w:p>
      <w:pPr>
        <w:spacing w:after="80" w:before="0"/>
      </w:pPr>
    </w:p>
    <w:p>
      <w:pPr>
        <w:spacing w:after="80" w:before="180"/>
      </w:pPr>
      <w:r>
        <w:rPr>
          <w:rFonts w:ascii="Arial" w:cs="Arial" w:eastAsia="Arial" w:hAnsi="Arial"/>
          <w:b/>
          <w:bCs/>
          <w:color w:val="2E75B6"/>
          <w:sz w:val="22"/>
          <w:szCs w:val="22"/>
        </w:rPr>
        <w:t xml:space="preserve">5.2 Customer outcome</w:t>
      </w:r>
    </w:p>
    <w:p>
      <w:pPr>
        <w:spacing w:after="60" w:before="60"/>
      </w:pPr>
      <w:r>
        <w:rPr>
          <w:rFonts w:ascii="Arial" w:cs="Arial" w:eastAsia="Arial" w:hAnsi="Arial"/>
          <w:b w:val="false"/>
          <w:bCs w:val="false"/>
          <w:color w:val="333333"/>
          <w:sz w:val="20"/>
          <w:szCs w:val="20"/>
        </w:rPr>
        <w:t xml:space="preserve">A traffic coordinator and procurement head should have a single live dashboard showing every rake in transit — its location, ETA, material type, quantity, and priority status — updated in real time from GPS feeds. Delays should trigger automatic alerts. Idle time should be tracked and root-caused. Turnaround time across all yards should be visible on a historical basis for continuous improvement. The objective is to reduce rake TAT by 5–8 days per cycle and eliminate BF feed disruptions caused by logistics opacity.</w:t>
      </w:r>
    </w:p>
    <w:p>
      <w:pPr>
        <w:spacing w:after="80" w:before="0"/>
      </w:pPr>
    </w:p>
    <w:p>
      <w:pPr>
        <w:spacing w:after="80" w:before="180"/>
      </w:pPr>
      <w:r>
        <w:rPr>
          <w:rFonts w:ascii="Arial" w:cs="Arial" w:eastAsia="Arial" w:hAnsi="Arial"/>
          <w:b/>
          <w:bCs/>
          <w:color w:val="2E75B6"/>
          <w:sz w:val="22"/>
          <w:szCs w:val="22"/>
        </w:rPr>
        <w:t xml:space="preserve">5.3 How LIQUIDMIND will deliver this</w:t>
      </w:r>
    </w:p>
    <w:p>
      <w:pPr>
        <w:spacing w:after="60" w:before="60"/>
      </w:pPr>
      <w:r>
        <w:rPr>
          <w:rFonts w:ascii="Arial" w:cs="Arial" w:eastAsia="Arial" w:hAnsi="Arial"/>
          <w:b w:val="false"/>
          <w:bCs w:val="false"/>
          <w:color w:val="333333"/>
          <w:sz w:val="20"/>
          <w:szCs w:val="20"/>
        </w:rPr>
        <w:t xml:space="preserve">LIQUIDMIND will configure its event-driven data pipeline architecture — proven in production in TradeGuard AI's real-time shipment tracking layer — for RSP's rake movement use case:</w:t>
      </w:r>
    </w:p>
    <w:p>
      <w:pPr>
        <w:spacing w:after="60" w:before="0"/>
      </w:pPr>
    </w:p>
    <w:p>
      <w:pPr>
        <w:pStyle w:val="ListParagraph"/>
        <w:numPr>
          <w:ilvl w:val="0"/>
          <w:numId w:val="2"/>
        </w:numPr>
        <w:spacing w:after="40" w:before="40"/>
      </w:pPr>
      <w:r>
        <w:rPr>
          <w:rFonts w:ascii="Arial" w:cs="Arial" w:eastAsia="Arial" w:hAnsi="Arial"/>
          <w:color w:val="333333"/>
          <w:sz w:val="20"/>
          <w:szCs w:val="20"/>
        </w:rPr>
        <w:t xml:space="preserve">Real-time rake tracking dashboard integrating live GPS data feeds across all RSP yards and sidings, with continuous position and ETA refresh.</w:t>
      </w:r>
    </w:p>
    <w:p>
      <w:pPr>
        <w:pStyle w:val="ListParagraph"/>
        <w:numPr>
          <w:ilvl w:val="0"/>
          <w:numId w:val="2"/>
        </w:numPr>
        <w:spacing w:after="40" w:before="40"/>
      </w:pPr>
      <w:r>
        <w:rPr>
          <w:rFonts w:ascii="Arial" w:cs="Arial" w:eastAsia="Arial" w:hAnsi="Arial"/>
          <w:color w:val="333333"/>
          <w:sz w:val="20"/>
          <w:szCs w:val="20"/>
        </w:rPr>
        <w:t xml:space="preserve">Incoming rake details panel: material type, quantity, source port, origin supplier, scheduled ETA, and actual ETA deviation tracking per rake.</w:t>
      </w:r>
    </w:p>
    <w:p>
      <w:pPr>
        <w:pStyle w:val="ListParagraph"/>
        <w:numPr>
          <w:ilvl w:val="0"/>
          <w:numId w:val="2"/>
        </w:numPr>
        <w:spacing w:after="40" w:before="40"/>
      </w:pPr>
      <w:r>
        <w:rPr>
          <w:rFonts w:ascii="Arial" w:cs="Arial" w:eastAsia="Arial" w:hAnsi="Arial"/>
          <w:color w:val="333333"/>
          <w:sz w:val="20"/>
          <w:szCs w:val="20"/>
        </w:rPr>
        <w:t xml:space="preserve">Intelligent prioritisation and allocation engine: auto-ranking of incoming rakes by material criticality, BF feed urgency, and yard congestion — giving traffic teams clear daily priorities.</w:t>
      </w:r>
    </w:p>
    <w:p>
      <w:pPr>
        <w:pStyle w:val="ListParagraph"/>
        <w:numPr>
          <w:ilvl w:val="0"/>
          <w:numId w:val="2"/>
        </w:numPr>
        <w:spacing w:after="40" w:before="40"/>
      </w:pPr>
      <w:r>
        <w:rPr>
          <w:rFonts w:ascii="Arial" w:cs="Arial" w:eastAsia="Arial" w:hAnsi="Arial"/>
          <w:color w:val="333333"/>
          <w:sz w:val="20"/>
          <w:szCs w:val="20"/>
        </w:rPr>
        <w:t xml:space="preserve">Automated alert engine: configurable triggers for idle time thresholds, delay against ETA, bottleneck build-up in specific sidings, and demurrage risk on port-side rakes.</w:t>
      </w:r>
    </w:p>
    <w:p>
      <w:pPr>
        <w:pStyle w:val="ListParagraph"/>
        <w:numPr>
          <w:ilvl w:val="0"/>
          <w:numId w:val="2"/>
        </w:numPr>
        <w:spacing w:after="40" w:before="40"/>
      </w:pPr>
      <w:r>
        <w:rPr>
          <w:rFonts w:ascii="Arial" w:cs="Arial" w:eastAsia="Arial" w:hAnsi="Arial"/>
          <w:color w:val="333333"/>
          <w:sz w:val="20"/>
          <w:szCs w:val="20"/>
        </w:rPr>
        <w:t xml:space="preserve">Historical TAT analytics: yard-wise and route-wise turnaround time visualisation on 3 months of RSP movement data, identifying systemic delay patterns.</w:t>
      </w:r>
    </w:p>
    <w:p>
      <w:pPr>
        <w:pStyle w:val="ListParagraph"/>
        <w:numPr>
          <w:ilvl w:val="0"/>
          <w:numId w:val="2"/>
        </w:numPr>
        <w:spacing w:after="40" w:before="40"/>
      </w:pPr>
      <w:r>
        <w:rPr>
          <w:rFonts w:ascii="Arial" w:cs="Arial" w:eastAsia="Arial" w:hAnsi="Arial"/>
          <w:color w:val="333333"/>
          <w:sz w:val="20"/>
          <w:szCs w:val="20"/>
        </w:rPr>
        <w:t xml:space="preserve">Integration blueprint for SAP/MES and RSP's existing GPS tracking system — designed to connect to existing infrastructure without new hardware investment.</w:t>
      </w:r>
    </w:p>
    <w:p>
      <w:pPr>
        <w:pStyle w:val="ListParagraph"/>
        <w:numPr>
          <w:ilvl w:val="0"/>
          <w:numId w:val="2"/>
        </w:numPr>
        <w:spacing w:after="40" w:before="40"/>
      </w:pPr>
      <w:r>
        <w:rPr>
          <w:rFonts w:ascii="Arial" w:cs="Arial" w:eastAsia="Arial" w:hAnsi="Arial"/>
          <w:color w:val="333333"/>
          <w:sz w:val="20"/>
          <w:szCs w:val="20"/>
        </w:rPr>
        <w:t xml:space="preserve">Public-data fallback (DGFT import data + Indian Railways public datasets) ensures pilot timeline is not blocked by NDA or GPS data-access delays.</w:t>
      </w:r>
    </w:p>
    <w:p>
      <w:pPr>
        <w:spacing w:after="100" w:before="0"/>
      </w:pPr>
    </w:p>
    <w:p>
      <w:pPr>
        <w:spacing w:after="80" w:before="180"/>
      </w:pPr>
      <w:r>
        <w:rPr>
          <w:rFonts w:ascii="Arial" w:cs="Arial" w:eastAsia="Arial" w:hAnsi="Arial"/>
          <w:b/>
          <w:bCs/>
          <w:color w:val="2E75B6"/>
          <w:sz w:val="22"/>
          <w:szCs w:val="22"/>
        </w:rPr>
        <w:t xml:space="preserve">5.4 Estimated business value to RSP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Driver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Impact</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Idle time reduction (3–5 days/rake × 15–20 rakes/year × ₹8–12 cr/BF 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₹15–25 cr/year</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Demurrage prevention on port-side rakes (2–3 days × $15–25K/day)</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₹8–12 cr/year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BF production continuity (avoiding unplanned shutdowns from feed gaps)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₹8–12 cr/BF day protected</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Analyst/coordinator time saved on manual tracking calls and follow-ups</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600–900 hrs/year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Working capital freed: 5–8 days faster rake cycle × 15–20 shipments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₹12–20 cr/year</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Combined L2 + L3 impact</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₹35–57 cr/year + BF protection</w:t>
            </w:r>
          </w:p>
        </w:tc>
      </w:tr>
    </w:tbl>
    <w:p>
      <w:r>
        <w:br w:type="page"/>
      </w:r>
    </w:p>
    <w:p>
      <w:pPr>
        <w:pBdr>
          <w:bottom w:val="single" w:color="2E75B6" w:sz="8" w:space="4"/>
        </w:pBdr>
        <w:spacing w:after="120" w:before="280"/>
      </w:pPr>
      <w:r>
        <w:rPr>
          <w:rFonts w:ascii="Arial" w:cs="Arial" w:eastAsia="Arial" w:hAnsi="Arial"/>
          <w:b/>
          <w:bCs/>
          <w:color w:val="1F3864"/>
          <w:sz w:val="26"/>
          <w:szCs w:val="26"/>
        </w:rPr>
        <w:t xml:space="preserve">6. Combined Impact Summary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PS1 — Stock-out Risk Predictor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PS2 — Rake Movement Dashboard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Combined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L1 — Time Saved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900–1,400 hrs/year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600–900 hrs/year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1.5–2.5 senior FTEs freed</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L2 — Cost Reduced</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₹80–140 cr/year</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₹15–25 cr/year</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₹95–165 cr/year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L3 — Revenue / Production Protected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₹40–70 cr/year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₹20–32 cr/year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₹60–102 cr/year</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Total Documented Upside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₹120–210 cr/year</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₹35–57 cr/year</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₹155–267 cr/year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pPr>
              <w:spacing w:after="40" w:before="40"/>
            </w:pPr>
            <w:r>
              <w:rPr>
                <w:rFonts w:ascii="Arial" w:cs="Arial" w:eastAsia="Arial" w:hAnsi="Arial"/>
                <w:b w:val="false"/>
                <w:bCs w:val="false"/>
                <w:color w:val="1F3864"/>
                <w:sz w:val="20"/>
                <w:szCs w:val="20"/>
              </w:rPr>
              <w:t xml:space="preserve">Why RSP Leadership Will Accept This:</w:t>
            </w:r>
          </w:p>
          <w:p>
            <w:pPr>
              <w:spacing w:after="40" w:before="40"/>
            </w:pPr>
            <w:r>
              <w:rPr>
                <w:rFonts w:ascii="Arial" w:cs="Arial" w:eastAsia="Arial" w:hAnsi="Arial"/>
                <w:b w:val="false"/>
                <w:bCs w:val="false"/>
                <w:color w:val="1F3864"/>
                <w:sz w:val="20"/>
                <w:szCs w:val="20"/>
              </w:rPr>
              <w:t xml:space="preserve">LIQUIDMIND is not asking RSP to take a technology risk. Both products are in production today.</w:t>
            </w:r>
          </w:p>
          <w:p>
            <w:pPr>
              <w:spacing w:after="40" w:before="40"/>
            </w:pPr>
            <w:r>
              <w:rPr>
                <w:rFonts w:ascii="Arial" w:cs="Arial" w:eastAsia="Arial" w:hAnsi="Arial"/>
                <w:b w:val="false"/>
                <w:bCs w:val="false"/>
                <w:color w:val="1F3864"/>
                <w:sz w:val="20"/>
                <w:szCs w:val="20"/>
              </w:rPr>
              <w:t xml:space="preserve">The PoC runs on RSP's own data in 4–6 weeks, with payment only on acceptance.</w:t>
            </w:r>
          </w:p>
          <w:p>
            <w:pPr>
              <w:spacing w:after="40" w:before="40"/>
            </w:pPr>
            <w:r>
              <w:rPr>
                <w:rFonts w:ascii="Arial" w:cs="Arial" w:eastAsia="Arial" w:hAnsi="Arial"/>
                <w:b w:val="false"/>
                <w:bCs w:val="false"/>
                <w:color w:val="1F3864"/>
                <w:sz w:val="20"/>
                <w:szCs w:val="20"/>
              </w:rPr>
              <w:t xml:space="preserve">Risk to RSP = zero. Documented upside = ₹95–165 cr/year cost reduction + ₹60–102 cr/year production protection.</w:t>
            </w:r>
          </w:p>
        </w:tc>
      </w:tr>
    </w:tbl>
    <w:p>
      <w:r>
        <w:br w:type="page"/>
      </w:r>
    </w:p>
    <w:p>
      <w:pPr>
        <w:pBdr>
          <w:bottom w:val="single" w:color="2E75B6" w:sz="8" w:space="4"/>
        </w:pBdr>
        <w:spacing w:after="120" w:before="280"/>
      </w:pPr>
      <w:r>
        <w:rPr>
          <w:rFonts w:ascii="Arial" w:cs="Arial" w:eastAsia="Arial" w:hAnsi="Arial"/>
          <w:b/>
          <w:bCs/>
          <w:color w:val="1F3864"/>
          <w:sz w:val="26"/>
          <w:szCs w:val="26"/>
        </w:rPr>
        <w:t xml:space="preserve">7. Safeguards and Quality Assurance</w:t>
      </w:r>
    </w:p>
    <w:p>
      <w:pPr>
        <w:spacing w:after="60" w:before="0"/>
      </w:pPr>
    </w:p>
    <w:p>
      <w:pPr>
        <w:spacing w:after="80" w:before="180"/>
      </w:pPr>
      <w:r>
        <w:rPr>
          <w:rFonts w:ascii="Arial" w:cs="Arial" w:eastAsia="Arial" w:hAnsi="Arial"/>
          <w:b/>
          <w:bCs/>
          <w:color w:val="2E75B6"/>
          <w:sz w:val="22"/>
          <w:szCs w:val="22"/>
        </w:rPr>
        <w:t xml:space="preserve">7.1 Zero-hallucination guarantee</w:t>
      </w:r>
    </w:p>
    <w:p>
      <w:pPr>
        <w:spacing w:after="60" w:before="60"/>
      </w:pPr>
      <w:r>
        <w:rPr>
          <w:rFonts w:ascii="Arial" w:cs="Arial" w:eastAsia="Arial" w:hAnsi="Arial"/>
          <w:b w:val="false"/>
          <w:bCs w:val="false"/>
          <w:color w:val="333333"/>
          <w:sz w:val="20"/>
          <w:szCs w:val="20"/>
        </w:rPr>
        <w:t xml:space="preserve">Every answer LIQUIDMIND's system returns carries a source citation pointing to the exact document, page number, and section from which the answer was derived. If the system cannot find a sourced answer, it returns "I do not have enough information to answer this confidently" rather than fabricating a response. This is enforced at the architecture level via retrieval-augmented generation — the LLM is physically prevented from answering without grounded source documents. Every response also passes through a separate verification stage in which a second model checks that the answer is supported by the cited sources.</w:t>
      </w:r>
    </w:p>
    <w:p>
      <w:pPr>
        <w:spacing w:after="80" w:before="0"/>
      </w:pPr>
    </w:p>
    <w:p>
      <w:pPr>
        <w:spacing w:after="80" w:before="180"/>
      </w:pPr>
      <w:r>
        <w:rPr>
          <w:rFonts w:ascii="Arial" w:cs="Arial" w:eastAsia="Arial" w:hAnsi="Arial"/>
          <w:b/>
          <w:bCs/>
          <w:color w:val="2E75B6"/>
          <w:sz w:val="22"/>
          <w:szCs w:val="22"/>
        </w:rPr>
        <w:t xml:space="preserve">7.2 Data security and confidentiality</w:t>
      </w:r>
    </w:p>
    <w:p>
      <w:pPr>
        <w:spacing w:after="60" w:before="60"/>
      </w:pPr>
      <w:r>
        <w:rPr>
          <w:rFonts w:ascii="Arial" w:cs="Arial" w:eastAsia="Arial" w:hAnsi="Arial"/>
          <w:b w:val="false"/>
          <w:bCs w:val="false"/>
          <w:color w:val="333333"/>
          <w:sz w:val="20"/>
          <w:szCs w:val="20"/>
        </w:rPr>
        <w:t xml:space="preserve">All RSP data ingested during the pilot is processed within LIQUIDMIND's Azure cloud tenancy under standard NDA terms. Access is restricted to a named, need-to-know project team. On pilot completion, all RSP data is either handed back in a structured export and deleted from LIQUIDMIND systems, or — at RSP's option — retained in a secure tenant for production rollout. No RSP data is used for model training without explicit written consent.</w:t>
      </w:r>
    </w:p>
    <w:p>
      <w:pPr>
        <w:spacing w:after="80" w:before="0"/>
      </w:pPr>
    </w:p>
    <w:p>
      <w:pPr>
        <w:spacing w:after="80" w:before="180"/>
      </w:pPr>
      <w:r>
        <w:rPr>
          <w:rFonts w:ascii="Arial" w:cs="Arial" w:eastAsia="Arial" w:hAnsi="Arial"/>
          <w:b/>
          <w:bCs/>
          <w:color w:val="2E75B6"/>
          <w:sz w:val="22"/>
          <w:szCs w:val="22"/>
        </w:rPr>
        <w:t xml:space="preserve">7.3 Data-access delay mitigation</w:t>
      </w:r>
    </w:p>
    <w:p>
      <w:pPr>
        <w:spacing w:after="60" w:before="60"/>
      </w:pPr>
      <w:r>
        <w:rPr>
          <w:rFonts w:ascii="Arial" w:cs="Arial" w:eastAsia="Arial" w:hAnsi="Arial"/>
          <w:b w:val="false"/>
          <w:bCs w:val="false"/>
          <w:color w:val="333333"/>
          <w:sz w:val="20"/>
          <w:szCs w:val="20"/>
        </w:rPr>
        <w:t xml:space="preserve">Both pilots can be demonstrated end-to-end using publicly available DGFT, ICEGATE, Indian Railways, and MSTC archival data if internal RSP data access is delayed. Weeks 1 and 2 always begin with public data; RSP internal data is swapped in whenever it becomes available, without resetting the pilot timeline. Both pilot timelines include a two-week buffer for data-access delays.</w:t>
      </w:r>
    </w:p>
    <w:p>
      <w:pPr>
        <w:spacing w:after="80" w:before="0"/>
      </w:pPr>
    </w:p>
    <w:p>
      <w:pPr>
        <w:spacing w:after="80" w:before="180"/>
      </w:pPr>
      <w:r>
        <w:rPr>
          <w:rFonts w:ascii="Arial" w:cs="Arial" w:eastAsia="Arial" w:hAnsi="Arial"/>
          <w:b/>
          <w:bCs/>
          <w:color w:val="2E75B6"/>
          <w:sz w:val="22"/>
          <w:szCs w:val="22"/>
        </w:rPr>
        <w:t xml:space="preserve">7.4 Acceptance testing</w:t>
      </w:r>
    </w:p>
    <w:p>
      <w:pPr>
        <w:spacing w:after="60" w:before="60"/>
      </w:pPr>
      <w:r>
        <w:rPr>
          <w:rFonts w:ascii="Arial" w:cs="Arial" w:eastAsia="Arial" w:hAnsi="Arial"/>
          <w:b w:val="false"/>
          <w:bCs w:val="false"/>
          <w:color w:val="333333"/>
          <w:sz w:val="20"/>
          <w:szCs w:val="20"/>
        </w:rPr>
        <w:t xml:space="preserve">Acceptance criteria will be documented and agreed at the PoC kick-off. Each deliverable listed in the prescribed table in Section 3 is a discrete, demonstrable artefact that RSP signs off against agreed criteria. Payment is released after acceptance.</w:t>
      </w:r>
    </w:p>
    <w:p>
      <w:r>
        <w:br w:type="page"/>
      </w:r>
    </w:p>
    <w:p>
      <w:pPr>
        <w:pBdr>
          <w:bottom w:val="single" w:color="2E75B6" w:sz="8" w:space="4"/>
        </w:pBdr>
        <w:spacing w:after="120" w:before="280"/>
      </w:pPr>
      <w:r>
        <w:rPr>
          <w:rFonts w:ascii="Arial" w:cs="Arial" w:eastAsia="Arial" w:hAnsi="Arial"/>
          <w:b/>
          <w:bCs/>
          <w:color w:val="1F3864"/>
          <w:sz w:val="26"/>
          <w:szCs w:val="26"/>
        </w:rPr>
        <w:t xml:space="preserve">8. Pilot Investment and Payment Terms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Lower Estimate</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Upper Estimate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Project 1 — Stock-out Risk Predictor (30–45 working days)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6,00,000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8,00,000</w:t>
            </w:r>
          </w:p>
        </w:tc>
      </w:tr>
      <w:tr>
        <w:tc>
          <w:tcPr>
            <w:tcW w:type="dxa" w:w="5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Project 2 — Rake Movement Dashboard (45–60 working days)</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9,00,000</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12,00,000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Subtotal before tax</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15,00,000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20,00,000</w:t>
            </w:r>
          </w:p>
        </w:tc>
      </w:tr>
      <w:tr>
        <w:tc>
          <w:tcPr>
            <w:tcW w:type="dxa" w:w="5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Goods and Services Tax at 18%</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2,70,000</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3,60,000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Grand Total including all taxes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17,70,000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INR 23,60,000</w:t>
            </w:r>
          </w:p>
        </w:tc>
      </w:tr>
    </w:tbl>
    <w:p>
      <w:pPr>
        <w:spacing w:after="120" w:before="0"/>
      </w:pPr>
    </w:p>
    <w:p>
      <w:pPr>
        <w:spacing w:after="60" w:before="60"/>
      </w:pPr>
      <w:r>
        <w:rPr>
          <w:rFonts w:ascii="Arial" w:cs="Arial" w:eastAsia="Arial" w:hAnsi="Arial"/>
          <w:b w:val="false"/>
          <w:bCs w:val="false"/>
          <w:color w:val="333333"/>
          <w:sz w:val="20"/>
          <w:szCs w:val="20"/>
        </w:rPr>
        <w:t xml:space="preserve">Payment structure: 30% on PoC kick-off, 40% on mid-pilot milestone demonstration, 30% on final acceptance sign-off by RSP. Fully aligned with MSTC's policy that payment is released after acceptance of PoC deliverables. LIQUIDMIND is DPIIT Startup India recognised — exempt from the INR 1,00,000 MSTC processing fee.</w:t>
      </w:r>
    </w:p>
    <w:p>
      <w:r>
        <w:br w:type="page"/>
      </w:r>
    </w:p>
    <w:p>
      <w:pPr>
        <w:pBdr>
          <w:bottom w:val="single" w:color="2E75B6" w:sz="8" w:space="4"/>
        </w:pBdr>
        <w:spacing w:after="120" w:before="280"/>
      </w:pPr>
      <w:r>
        <w:rPr>
          <w:rFonts w:ascii="Arial" w:cs="Arial" w:eastAsia="Arial" w:hAnsi="Arial"/>
          <w:b/>
          <w:bCs/>
          <w:color w:val="1F3864"/>
          <w:sz w:val="26"/>
          <w:szCs w:val="26"/>
        </w:rPr>
        <w:t xml:space="preserve">9. LIQUIDMIND®.AI — Credentials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LIQUIDMIND Credential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MSTC empanelment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Approved empanelled vendor with MSTC Limited. No new vendor registration required for this PoC engagement.</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Government recognition</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DPIIT Startup India recognised. NASSCOM Centre of Excellence member.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National award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Aegis Graham Bell Award 2026 under the Ministry of Electronics and Information Technology, in the Generative AI: Customer Experience, Sales and Go-to-Market Intelligence category. Felicitated at Hotel Ashoka, New Delhi.</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State grant (2025)</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Elevate Karnataka 2025 grant — 1 of 103 startups selected from 1,474+ applicants. Non-dilutive grant up to INR 50 lakh. Felicitated by the Honourable Minister for IT, Government of Karnataka.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National exhibit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Exhibited at India AI Summit 2026 at Bharat Mandapam, New Delhi (Booth 6P169, Hall 6), 16–21 February 2026. Strong engagement from exporters, importers, DGFT officials, and venture capital investors.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Institutional partnerships</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NVIDIA Inception programme. Amazon Web Services Activate. Microsoft for Startups.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Products in production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TradeGuard AI (Shipping Bill vs Commercial Invoice cross-validation). Patram AI (trade document intelligence and plain-English Q&amp;A with sourced citations across 190+ countries). TariffIQ/HSN+ AI (HS classification and landed-cost comparison).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Founder credentials</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Naveen Athresh — 25+ years of product leadership at Flipkart, PayU, Rakuten, eBay, MatchMove, and IDrive (Employee No. 1, scaled to USD 25M ARR). TEDx speaker on two occasions (combined 200,000+ views). IIFT Delhi alumnus (Executive Masters in International Business). Harvard Business School certifications in Design Thinking, Entrepreneurship, and Negotiation.</w:t>
            </w:r>
          </w:p>
        </w:tc>
      </w:tr>
    </w:tbl>
    <w:p>
      <w:r>
        <w:br w:type="page"/>
      </w:r>
    </w:p>
    <w:p>
      <w:pPr>
        <w:pBdr>
          <w:bottom w:val="single" w:color="2E75B6" w:sz="8" w:space="4"/>
        </w:pBdr>
        <w:spacing w:after="120" w:before="280"/>
      </w:pPr>
      <w:r>
        <w:rPr>
          <w:rFonts w:ascii="Arial" w:cs="Arial" w:eastAsia="Arial" w:hAnsi="Arial"/>
          <w:b/>
          <w:bCs/>
          <w:color w:val="1F3864"/>
          <w:sz w:val="26"/>
          <w:szCs w:val="26"/>
        </w:rPr>
        <w:t xml:space="preserve">10. Closing and Next Steps</w:t>
      </w:r>
    </w:p>
    <w:p>
      <w:pPr>
        <w:spacing w:after="80" w:before="0"/>
      </w:pPr>
    </w:p>
    <w:p>
      <w:pPr>
        <w:spacing w:after="60" w:before="60"/>
      </w:pPr>
      <w:r>
        <w:rPr>
          <w:rFonts w:ascii="Arial" w:cs="Arial" w:eastAsia="Arial" w:hAnsi="Arial"/>
          <w:b w:val="false"/>
          <w:bCs w:val="false"/>
          <w:color w:val="333333"/>
          <w:sz w:val="20"/>
          <w:szCs w:val="20"/>
        </w:rPr>
        <w:t xml:space="preserve">LIQUIDMIND®.AI respectfully submits this proposal for consideration by Rourkela Steel Plant (SAIL). The two proposed projects have been selected because they map directly to CAG-documented loss areas at RSP, they align with LIQUIDMIND's production-ready EXIM intelligence product capabilities, and they deliver measurable business value to RSP within the Proof-of-Concept window.</w:t>
      </w:r>
    </w:p>
    <w:p>
      <w:pPr>
        <w:spacing w:after="80" w:before="0"/>
      </w:pPr>
    </w:p>
    <w:p>
      <w:pPr>
        <w:spacing w:after="60" w:before="60"/>
      </w:pPr>
      <w:r>
        <w:rPr>
          <w:rFonts w:ascii="Arial" w:cs="Arial" w:eastAsia="Arial" w:hAnsi="Arial"/>
          <w:b w:val="false"/>
          <w:bCs w:val="false"/>
          <w:color w:val="333333"/>
          <w:sz w:val="20"/>
          <w:szCs w:val="20"/>
        </w:rPr>
        <w:t xml:space="preserve">We are ready to commence both pilots on receipt of a Letter of Award or equivalent engagement instruction. The proposed next steps are:</w:t>
      </w:r>
    </w:p>
    <w:p>
      <w:pPr>
        <w:spacing w:after="60" w:before="0"/>
      </w:pPr>
    </w:p>
    <w:p>
      <w:pPr>
        <w:pStyle w:val="ListParagraph"/>
        <w:numPr>
          <w:ilvl w:val="0"/>
          <w:numId w:val="2"/>
        </w:numPr>
        <w:spacing w:after="40" w:before="40"/>
      </w:pPr>
      <w:r>
        <w:rPr>
          <w:rFonts w:ascii="Arial" w:cs="Arial" w:eastAsia="Arial" w:hAnsi="Arial"/>
          <w:color w:val="333333"/>
          <w:sz w:val="20"/>
          <w:szCs w:val="20"/>
        </w:rPr>
        <w:t xml:space="preserve">Acknowledgement of this submission by RSP / MSTC.</w:t>
      </w:r>
    </w:p>
    <w:p>
      <w:pPr>
        <w:pStyle w:val="ListParagraph"/>
        <w:numPr>
          <w:ilvl w:val="0"/>
          <w:numId w:val="2"/>
        </w:numPr>
        <w:spacing w:after="40" w:before="40"/>
      </w:pPr>
      <w:r>
        <w:rPr>
          <w:rFonts w:ascii="Arial" w:cs="Arial" w:eastAsia="Arial" w:hAnsi="Arial"/>
          <w:color w:val="333333"/>
          <w:sz w:val="20"/>
          <w:szCs w:val="20"/>
        </w:rPr>
        <w:t xml:space="preserve">Introduction to the nominated RSP point of contact and a 30-minute kick-off discussion.</w:t>
      </w:r>
    </w:p>
    <w:p>
      <w:pPr>
        <w:pStyle w:val="ListParagraph"/>
        <w:numPr>
          <w:ilvl w:val="0"/>
          <w:numId w:val="2"/>
        </w:numPr>
        <w:spacing w:after="40" w:before="40"/>
      </w:pPr>
      <w:r>
        <w:rPr>
          <w:rFonts w:ascii="Arial" w:cs="Arial" w:eastAsia="Arial" w:hAnsi="Arial"/>
          <w:color w:val="333333"/>
          <w:sz w:val="20"/>
          <w:szCs w:val="20"/>
        </w:rPr>
        <w:t xml:space="preserve">Execution of Non-Disclosure Agreement and Proof-of-Concept Statement of Work.</w:t>
      </w:r>
    </w:p>
    <w:p>
      <w:pPr>
        <w:pStyle w:val="ListParagraph"/>
        <w:numPr>
          <w:ilvl w:val="0"/>
          <w:numId w:val="2"/>
        </w:numPr>
        <w:spacing w:after="40" w:before="40"/>
      </w:pPr>
      <w:r>
        <w:rPr>
          <w:rFonts w:ascii="Arial" w:cs="Arial" w:eastAsia="Arial" w:hAnsi="Arial"/>
          <w:color w:val="333333"/>
          <w:sz w:val="20"/>
          <w:szCs w:val="20"/>
        </w:rPr>
        <w:t xml:space="preserve">Pilot kick-off within two weeks of Letter of Award — LIQUIDMIND's delivery team is ready to mobilise.</w:t>
      </w:r>
    </w:p>
    <w:p>
      <w:pPr>
        <w:spacing w:after="160" w:before="0"/>
      </w:pPr>
    </w:p>
    <w:p>
      <w:pPr>
        <w:spacing w:after="60" w:before="60"/>
      </w:pPr>
      <w:r>
        <w:rPr>
          <w:rFonts w:ascii="Arial" w:cs="Arial" w:eastAsia="Arial" w:hAnsi="Arial"/>
          <w:b w:val="false"/>
          <w:bCs w:val="false"/>
          <w:color w:val="333333"/>
          <w:sz w:val="20"/>
          <w:szCs w:val="20"/>
        </w:rPr>
        <w:t xml:space="preserve">For clarifications or scheduling:</w:t>
      </w:r>
    </w:p>
    <w:p>
      <w:pPr>
        <w:spacing w:after="60" w:before="0"/>
      </w:pPr>
    </w:p>
    <w:p>
      <w:pPr>
        <w:spacing w:after="60" w:before="60"/>
      </w:pPr>
      <w:r>
        <w:rPr>
          <w:rFonts w:ascii="Arial" w:cs="Arial" w:eastAsia="Arial" w:hAnsi="Arial"/>
          <w:b/>
          <w:bCs/>
          <w:color w:val="333333"/>
          <w:sz w:val="20"/>
          <w:szCs w:val="20"/>
        </w:rPr>
        <w:t xml:space="preserve">Naveen Athresh</w:t>
      </w:r>
    </w:p>
    <w:p>
      <w:pPr>
        <w:spacing w:after="60" w:before="60"/>
      </w:pPr>
      <w:r>
        <w:rPr>
          <w:rFonts w:ascii="Arial" w:cs="Arial" w:eastAsia="Arial" w:hAnsi="Arial"/>
          <w:b w:val="false"/>
          <w:bCs w:val="false"/>
          <w:color w:val="333333"/>
          <w:sz w:val="20"/>
          <w:szCs w:val="20"/>
        </w:rPr>
        <w:t xml:space="preserve">Founder &amp; Chief Executive Officer, LIQUIDMIND®.AI</w:t>
      </w:r>
    </w:p>
    <w:p>
      <w:pPr>
        <w:spacing w:after="60" w:before="60"/>
      </w:pPr>
      <w:r>
        <w:rPr>
          <w:rFonts w:ascii="Arial" w:cs="Arial" w:eastAsia="Arial" w:hAnsi="Arial"/>
          <w:b w:val="false"/>
          <w:bCs w:val="false"/>
          <w:color w:val="333333"/>
          <w:sz w:val="20"/>
          <w:szCs w:val="20"/>
        </w:rPr>
        <w:t xml:space="preserve">naveen@liquidmind.ai</w:t>
      </w:r>
    </w:p>
    <w:p>
      <w:pPr>
        <w:spacing w:after="60" w:before="60"/>
      </w:pPr>
      <w:r>
        <w:rPr>
          <w:rFonts w:ascii="Arial" w:cs="Arial" w:eastAsia="Arial" w:hAnsi="Arial"/>
          <w:b w:val="false"/>
          <w:bCs w:val="false"/>
          <w:color w:val="333333"/>
          <w:sz w:val="20"/>
          <w:szCs w:val="20"/>
        </w:rPr>
        <w:t xml:space="preserve">Bengaluru, Karnataka, India</w:t>
      </w:r>
    </w:p>
    <w:p>
      <w:pPr>
        <w:spacing w:after="120" w:before="0"/>
      </w:pPr>
    </w:p>
    <w:p>
      <w:pPr>
        <w:spacing w:after="60" w:before="60"/>
      </w:pPr>
      <w:r>
        <w:rPr>
          <w:rFonts w:ascii="Arial" w:cs="Arial" w:eastAsia="Arial" w:hAnsi="Arial"/>
          <w:b w:val="false"/>
          <w:bCs w:val="false"/>
          <w:color w:val="555555"/>
          <w:sz w:val="20"/>
          <w:szCs w:val="20"/>
        </w:rPr>
        <w:t xml:space="preserve">Annexures available on request: MSTC empanelment reference, DPIIT Startup India certificate.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555555"/>
        <w:sz w:val="15"/>
        <w:szCs w:val="15"/>
      </w:rPr>
      <w:t xml:space="preserve">LIQUIDMIND®.AI  |  naveen@liquidmind.ai  |  MSTC Empanelled  |  DPIIT Recognised  |  Aegis Graham Bell Award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tcPr>
        <w:p>
          <w:r>
            <w:rPr>
              <w:rFonts w:ascii="Arial" w:cs="Arial" w:eastAsia="Arial" w:hAnsi="Arial"/>
              <w:b/>
              <w:bCs/>
              <w:color w:val="FFFFFF"/>
              <w:sz w:val="24"/>
              <w:szCs w:val="24"/>
            </w:rPr>
            <w:t xml:space="preserve">LIQUIDMIND®.AI</w:t>
          </w:r>
        </w:p>
      </w:tc>
      <w:tc>
        <w:tcPr>
          <w:tcW w:type="dxa" w:w="576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right"/>
          </w:pPr>
          <w:r>
            <w:rPr>
              <w:rFonts w:ascii="Arial" w:cs="Arial" w:eastAsia="Arial" w:hAnsi="Arial"/>
              <w:color w:val="FFFFFF"/>
              <w:sz w:val="17"/>
              <w:szCs w:val="17"/>
            </w:rPr>
            <w:t xml:space="preserve">Rourkela Steel Plant (SAIL)  |  PoC Proposal  |  Via MSTC Empanelment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2026-05-13T08:56:26.596Z</dcterms:created>
  <dcterms:modified xsi:type="dcterms:W3CDTF">2026-05-13T08:56:26.596Z</dcterms:modified>
</cp:coreProperties>
</file>

<file path=docProps/custom.xml><?xml version="1.0" encoding="utf-8"?>
<Properties xmlns="http://schemas.openxmlformats.org/officeDocument/2006/custom-properties" xmlns:vt="http://schemas.openxmlformats.org/officeDocument/2006/docPropsVTypes"/>
</file>