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Fri,</w:t>
      </w:r>
      <w:r>
        <w:t xml:space="preserve"> </w:t>
      </w:r>
      <w:r>
        <w:t xml:space="preserve">Aug</w:t>
      </w:r>
      <w:r>
        <w:t xml:space="preserve"> </w:t>
      </w:r>
      <w:r>
        <w:t xml:space="preserve">19,</w:t>
      </w:r>
      <w:r>
        <w:t xml:space="preserve"> </w:t>
      </w:r>
      <w:r>
        <w:t xml:space="preserve">2016</w:t>
      </w:r>
      <w:r>
        <w:t xml:space="preserve"> </w:t>
      </w:r>
      <w:r>
        <w:t xml:space="preserve">7:38:46</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3" w:name="topic-schedule"/>
      <w:bookmarkEnd w:id="43"/>
      <w:r>
        <w:t xml:space="preserve">Topic Schedule</w:t>
      </w:r>
    </w:p>
    <w:p>
      <w:pPr>
        <w:pStyle w:val="Heading2"/>
      </w:pPr>
      <w:bookmarkStart w:id="44" w:name="week-1-august-23-lis-education-and-professional-life"/>
      <w:bookmarkEnd w:id="44"/>
      <w:r>
        <w:t xml:space="preserve">Week 1, August 23: LIS Education and professional life</w:t>
      </w:r>
    </w:p>
    <w:p>
      <w:pPr>
        <w:pStyle w:val="Heading3"/>
      </w:pPr>
      <w:bookmarkStart w:id="45" w:name="readings"/>
      <w:bookmarkEnd w:id="45"/>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p>
    <w:p>
      <w:pPr>
        <w:pStyle w:val="Heading3"/>
      </w:pPr>
      <w:bookmarkStart w:id="46" w:name="background"/>
      <w:bookmarkEnd w:id="46"/>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adings-1"/>
      <w:bookmarkEnd w:id="48"/>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49" w:name="background-1"/>
      <w:bookmarkEnd w:id="49"/>
      <w:r>
        <w:t xml:space="preserve">Background</w:t>
      </w:r>
    </w:p>
    <w:p>
      <w:pPr>
        <w:pStyle w:val="FirstParagraph"/>
      </w:pPr>
      <w:r>
        <w:t xml:space="preserve">Bates, Marcia J.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50" w:name="week-3-september-6-research-methods"/>
      <w:bookmarkEnd w:id="50"/>
      <w:r>
        <w:t xml:space="preserve">Week 3, September 6: Research Methods</w:t>
      </w:r>
    </w:p>
    <w:p>
      <w:pPr>
        <w:pStyle w:val="Heading3"/>
      </w:pPr>
      <w:bookmarkStart w:id="51" w:name="readings-2"/>
      <w:bookmarkEnd w:id="51"/>
      <w:r>
        <w:t xml:space="preserve">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52" w:name="background-2"/>
      <w:bookmarkEnd w:id="52"/>
      <w:r>
        <w:t xml:space="preserve">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w:t>
      </w:r>
      <w:r>
        <w:t xml:space="preserve"> </w:t>
      </w:r>
      <w:r>
        <w:t xml:space="preserve">http://search.ebscohost.com/login.aspx?direct=true&amp;db=nlebk&amp;AN=348676&amp;site=ehost-live.</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BodyText"/>
      </w:pPr>
      <w:r>
        <w:t xml:space="preserve">Sutton, Brett.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adings-3"/>
      <w:bookmarkEnd w:id="54"/>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55" w:name="background-3"/>
      <w:bookmarkEnd w:id="55"/>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adings-4"/>
      <w:bookmarkEnd w:id="57"/>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58" w:name="background-4"/>
      <w:bookmarkEnd w:id="58"/>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adings-5"/>
      <w:bookmarkEnd w:id="60"/>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background-5"/>
      <w:bookmarkEnd w:id="61"/>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62" w:name="week-7-october-4-preservation"/>
      <w:bookmarkEnd w:id="62"/>
      <w:r>
        <w:t xml:space="preserve">Week 7, October 4: Preservation</w:t>
      </w:r>
    </w:p>
    <w:p>
      <w:pPr>
        <w:pStyle w:val="Heading3"/>
      </w:pPr>
      <w:bookmarkStart w:id="63" w:name="readings-6"/>
      <w:bookmarkEnd w:id="63"/>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64" w:name="background-6"/>
      <w:bookmarkEnd w:id="64"/>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adings-7"/>
      <w:bookmarkEnd w:id="66"/>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67" w:name="background-7"/>
      <w:bookmarkEnd w:id="67"/>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68" w:name="week-9-october-18-evaluation-of-systems-and-services"/>
      <w:bookmarkEnd w:id="68"/>
      <w:r>
        <w:t xml:space="preserve">Week 9, October 18: Evaluation of systems and services</w:t>
      </w:r>
    </w:p>
    <w:p>
      <w:pPr>
        <w:pStyle w:val="Heading3"/>
      </w:pPr>
      <w:bookmarkStart w:id="69" w:name="readings-8"/>
      <w:bookmarkEnd w:id="69"/>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doi:10.1016/S0099-1333(96)90056-7.</w:t>
      </w:r>
    </w:p>
    <w:p>
      <w:pPr>
        <w:pStyle w:val="Heading3"/>
      </w:pPr>
      <w:bookmarkStart w:id="70" w:name="background-8"/>
      <w:bookmarkEnd w:id="70"/>
      <w:r>
        <w:t xml:space="preserve">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doi:10.1007/s00799-007-0011-z.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adings-9"/>
      <w:bookmarkEnd w:id="72"/>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73" w:name="background-9"/>
      <w:bookmarkEnd w:id="73"/>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p>
      <w:pPr>
        <w:pStyle w:val="Heading1"/>
      </w:pPr>
      <w:bookmarkStart w:id="74" w:name="assignments-and-evaluation"/>
      <w:bookmarkEnd w:id="74"/>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5" w:name="Asgt1"/>
      <w:bookmarkEnd w:id="75"/>
      <w:r>
        <w:t xml:space="preserve">Assignment 1 Information Needs/Information Seeking Behavior</w:t>
      </w:r>
    </w:p>
    <w:p>
      <w:pPr>
        <w:pStyle w:val="FirstParagraph"/>
      </w:pPr>
      <w:r>
        <w:t xml:space="preserve">Due September 1. This assignment is worth 20 points.</w:t>
      </w:r>
    </w:p>
    <w:p>
      <w:pPr>
        <w:pStyle w:val="Heading2"/>
      </w:pPr>
      <w:bookmarkStart w:id="76" w:name="rationale"/>
      <w:bookmarkEnd w:id="76"/>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7">
        <w:r>
          <w:rPr>
            <w:rStyle w:val="Hyperlink"/>
          </w:rPr>
          <w:t xml:space="preserve">http://InformationR.net/rm/</w:t>
        </w:r>
      </w:hyperlink>
    </w:p>
    <w:p>
      <w:pPr>
        <w:pStyle w:val="Heading2"/>
      </w:pPr>
      <w:bookmarkStart w:id="78" w:name="tasks"/>
      <w:bookmarkEnd w:id="78"/>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9" w:name="deliverable"/>
      <w:bookmarkEnd w:id="79"/>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80" w:name="submitting"/>
      <w:bookmarkEnd w:id="80"/>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1" w:name="strategies-for-locating-research-studies"/>
      <w:bookmarkEnd w:id="81"/>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September 29. This assignment is worth 20 points.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t xml:space="preserve">Research Question due September 8,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t xml:space="preserve">Research Methods due September 22,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t xml:space="preserve">Resource List due October 6,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DefinitionTerm"/>
      </w:pPr>
      <w:r>
        <w:t xml:space="preserve">Due October 27 Two page extended abstract</w:t>
      </w:r>
    </w:p>
    <w:p>
      <w:pPr>
        <w:pStyle w:val="Compact"/>
        <w:pStyle w:val="Definition"/>
      </w:pPr>
      <w:r>
        <w:t xml:space="preserve">Develop the two paragraph summary of your research question into a two page extended abstract. Focus on describing</w:t>
      </w:r>
      <w:r>
        <w:t xml:space="preserve"> </w:t>
      </w:r>
      <w:r>
        <w:t xml:space="preserve">and justifying the methods for investigating your research question. The extended abstract is a proposal. It should include a statement of</w:t>
      </w:r>
      <w:r>
        <w:t xml:space="preserve"> </w:t>
      </w:r>
      <w:r>
        <w:t xml:space="preserve">your research problem, a description of research methods for</w:t>
      </w:r>
      <w:r>
        <w:t xml:space="preserve"> </w:t>
      </w:r>
      <w:r>
        <w:t xml:space="preserve">investigating the problem, and an explanation of what form the results</w:t>
      </w:r>
      <w:r>
        <w:t xml:space="preserve"> </w:t>
      </w:r>
      <w:r>
        <w:t xml:space="preserve">of the investigation will take.</w:t>
      </w:r>
    </w:p>
    <w:p>
      <w:pPr>
        <w:pStyle w:val="DefinitionTerm"/>
      </w:pPr>
      <w:r>
        <w:t xml:space="preserve">Due October 27 Annotated bibliography of 20 items</w:t>
      </w:r>
    </w:p>
    <w:p>
      <w:pPr>
        <w:pStyle w:val="Compact"/>
        <w:pStyle w:val="Definition"/>
      </w:pPr>
      <w:r>
        <w:t xml:space="preserve">Following the Purdue Writing Lab Guidelines, create a document that integrates annotations with</w:t>
      </w:r>
      <w:r>
        <w:t xml:space="preserve"> </w:t>
      </w:r>
      <w:r>
        <w:t xml:space="preserve">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DefinitionTerm"/>
      </w:pPr>
      <w:r>
        <w:t xml:space="preserve">Due October 27 Five minute oral presentation</w:t>
      </w:r>
    </w:p>
    <w:p>
      <w:pPr>
        <w:pStyle w:val="Compact"/>
        <w:pStyle w:val="Definition"/>
      </w:pPr>
      <w:r>
        <w:t xml:space="preserve">Use this presentation to efficiently summarize</w:t>
      </w:r>
      <w:r>
        <w:t xml:space="preserve"> </w:t>
      </w:r>
      <w:r>
        <w:t xml:space="preserve">the relevance of this problem to people and</w:t>
      </w:r>
      <w:r>
        <w:t xml:space="preserve"> </w:t>
      </w:r>
      <w:r>
        <w:t xml:space="preserve">organizations who have a stake in resolving the</w:t>
      </w:r>
      <w:r>
        <w:t xml:space="preserve"> </w:t>
      </w:r>
      <w:r>
        <w:t xml:space="preserve">knowledge gap that you have identified. Do explain</w:t>
      </w:r>
      <w:r>
        <w:t xml:space="preserve"> </w:t>
      </w:r>
      <w:r>
        <w:t xml:space="preserve">the general approach to investigating the question, but</w:t>
      </w:r>
      <w:r>
        <w:t xml:space="preserve"> </w:t>
      </w:r>
      <w:r>
        <w:t xml:space="preserve">save methodological details for the extended abstract. Five minute summaries are difficult, so practice your presentation 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5"/>
          <w:ilvl w:val="0"/>
        </w:numPr>
      </w:pPr>
      <w:hyperlink r:id="rId109">
        <w:r>
          <w:rPr>
            <w:rStyle w:val="Hyperlink"/>
          </w:rPr>
          <w:t xml:space="preserve">Walliman on defining the research problem</w:t>
        </w:r>
      </w:hyperlink>
    </w:p>
    <w:p>
      <w:pPr>
        <w:pStyle w:val="Compact"/>
        <w:numPr>
          <w:numId w:val="1025"/>
          <w:ilvl w:val="0"/>
        </w:numPr>
      </w:pPr>
      <w:hyperlink r:id="rId104">
        <w:r>
          <w:rPr>
            <w:rStyle w:val="Hyperlink"/>
          </w:rPr>
          <w:t xml:space="preserve">Purdue University resources on annotated bibliographies</w:t>
        </w:r>
      </w:hyperlink>
    </w:p>
    <w:p>
      <w:pPr>
        <w:pStyle w:val="Compact"/>
        <w:numPr>
          <w:numId w:val="1025"/>
          <w:ilvl w:val="0"/>
        </w:numPr>
      </w:pPr>
      <w:hyperlink r:id="rId110">
        <w:r>
          <w:rPr>
            <w:rStyle w:val="Hyperlink"/>
          </w:rPr>
          <w:t xml:space="preserve">Background readings on research methods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6111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b7f7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9477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