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Fri,</w:t>
      </w:r>
      <w:r>
        <w:t xml:space="preserve"> </w:t>
      </w:r>
      <w:r>
        <w:t xml:space="preserve">Aug</w:t>
      </w:r>
      <w:r>
        <w:t xml:space="preserve"> </w:t>
      </w:r>
      <w:r>
        <w:t xml:space="preserve">19,</w:t>
      </w:r>
      <w:r>
        <w:t xml:space="preserve"> </w:t>
      </w:r>
      <w:r>
        <w:t xml:space="preserve">2016</w:t>
      </w:r>
      <w:r>
        <w:t xml:space="preserve"> </w:t>
      </w:r>
      <w:r>
        <w:t xml:space="preserve">5:56:41</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w:t>
      </w:r>
      <w:r>
        <w:br w:type="textWrapping"/>
      </w:r>
      <w:r>
        <w:t xml:space="preserve">Office Hour:</w:t>
      </w:r>
      <w:r>
        <w:br w:type="textWrapping"/>
      </w:r>
      <w:r>
        <w:t xml:space="preserve">Phone:</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about-chris-darpa"/>
      <w:bookmarkEnd w:id="33"/>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6" w:name="writing-resources"/>
      <w:bookmarkEnd w:id="36"/>
      <w:r>
        <w:t xml:space="preserve">Writing Resources</w:t>
      </w:r>
    </w:p>
    <w:p>
      <w:pPr>
        <w:pStyle w:val="FirstParagraph"/>
      </w:pPr>
      <w:r>
        <w:t xml:space="preserve">The Writers Workshop provides free consultations. For more information see</w:t>
      </w:r>
      <w:r>
        <w:t xml:space="preserve"> </w:t>
      </w:r>
      <w:hyperlink r:id="rId37">
        <w:r>
          <w:rPr>
            <w:rStyle w:val="Hyperlink"/>
          </w:rPr>
          <w:t xml:space="preserve">http://www.cws.illinois.edu/workshop/</w:t>
        </w:r>
      </w:hyperlink>
    </w:p>
    <w:p>
      <w:pPr>
        <w:pStyle w:val="Heading1"/>
      </w:pPr>
      <w:bookmarkStart w:id="38" w:name="academic-integrity"/>
      <w:bookmarkEnd w:id="38"/>
      <w:r>
        <w:t xml:space="preserve">Academic Integrity</w:t>
      </w:r>
    </w:p>
    <w:p>
      <w:pPr>
        <w:pStyle w:val="FirstParagraph"/>
      </w:pPr>
      <w:r>
        <w:t xml:space="preserve">Please review and reflect on the academic integrity policy of the University of Illinois,</w:t>
      </w:r>
      <w:r>
        <w:t xml:space="preserve"> </w:t>
      </w:r>
      <w:hyperlink r:id="rId39">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0" w:name="statement-of-inclusion"/>
      <w:bookmarkEnd w:id="40"/>
      <w:r>
        <w:t xml:space="preserve">Statement of Inclusion</w:t>
      </w:r>
    </w:p>
    <w:p>
      <w:pPr>
        <w:pStyle w:val="FirstParagraph"/>
      </w:pPr>
      <w:hyperlink r:id="rId41">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2" w:name="accessibility-statement"/>
      <w:bookmarkEnd w:id="42"/>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3" w:name="topic-schedule"/>
      <w:bookmarkEnd w:id="43"/>
      <w:r>
        <w:t xml:space="preserve">Topic Schedule</w:t>
      </w:r>
    </w:p>
    <w:p>
      <w:pPr>
        <w:pStyle w:val="Heading2"/>
      </w:pPr>
      <w:bookmarkStart w:id="44" w:name="week-1-august-23-lis-education-and-professional-life"/>
      <w:bookmarkEnd w:id="44"/>
      <w:r>
        <w:t xml:space="preserve">Week 1, August 23: LIS Education and professional life</w:t>
      </w:r>
    </w:p>
    <w:p>
      <w:pPr>
        <w:pStyle w:val="Heading3"/>
      </w:pPr>
      <w:bookmarkStart w:id="45" w:name="readings"/>
      <w:bookmarkEnd w:id="45"/>
      <w:r>
        <w:t xml:space="preserve">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w:t>
      </w:r>
      <w:r>
        <w:t xml:space="preserve"> </w:t>
      </w:r>
      <w:r>
        <w:t xml:space="preserve">doi:10.1002/(SICI)1097-4571(1999)50:12&lt;1043::AID-ASI1&gt;3.0.CO;2-X.</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doi:10.1002/(SICI)1097-4571(199709)48:9&lt;804::AID-ASI5&gt;3.0.CO;2-V.</w:t>
      </w:r>
    </w:p>
    <w:p>
      <w:pPr>
        <w:pStyle w:val="BodyText"/>
      </w:pPr>
      <w:r>
        <w:t xml:space="preserve">Bush, Vannevar. “As We May Think.”</w:t>
      </w:r>
      <w:r>
        <w:t xml:space="preserve"> </w:t>
      </w:r>
      <w:r>
        <w:rPr>
          <w:i/>
        </w:rPr>
        <w:t xml:space="preserve">The Atlantic Monthly</w:t>
      </w:r>
      <w:r>
        <w:t xml:space="preserve"> </w:t>
      </w:r>
      <w:r>
        <w:t xml:space="preserve">176, no. 1</w:t>
      </w:r>
      <w:r>
        <w:t xml:space="preserve"> </w:t>
      </w:r>
      <w:r>
        <w:t xml:space="preserve">(1945): 101–8.</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w:t>
      </w:r>
      <w:r>
        <w:t xml:space="preserve"> </w:t>
      </w:r>
      <w:r>
        <w:t xml:space="preserve">http://dx.doi.org/10.1007/978-94-007-0120-5_5.</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1, 2006): 40–42.</w:t>
      </w:r>
      <w:r>
        <w:t xml:space="preserve"> </w:t>
      </w:r>
      <w:r>
        <w:t xml:space="preserve">http://search.ebscohost.com/login.aspx?direct=true&amp;db=a9h&amp;AN=19426604&amp;site=ehost-live.</w:t>
      </w:r>
    </w:p>
    <w:p>
      <w:pPr>
        <w:pStyle w:val="Heading3"/>
      </w:pPr>
      <w:bookmarkStart w:id="46" w:name="background"/>
      <w:bookmarkEnd w:id="46"/>
      <w:r>
        <w:t xml:space="preserve">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 “The Man Who Wanted to</w:t>
      </w:r>
      <w:r>
        <w:t xml:space="preserve"> </w:t>
      </w:r>
      <w:r>
        <w:t xml:space="preserve">Classify the World,” 2004.</w:t>
      </w:r>
      <w:r>
        <w:t xml:space="preserve"> </w:t>
      </w:r>
      <w:r>
        <w:t xml:space="preserve">http://www.aspresolver.com/aspresolver.asp?VASC;1641522.</w:t>
      </w:r>
    </w:p>
    <w:p>
      <w:pPr>
        <w:pStyle w:val="BodyText"/>
      </w:pPr>
      <w:r>
        <w:t xml:space="preserve">Wright, Alex.</w:t>
      </w:r>
      <w:r>
        <w:t xml:space="preserve"> </w:t>
      </w:r>
      <w:r>
        <w:rPr>
          <w:i/>
        </w:rPr>
        <w:t xml:space="preserve">Cataloging the World : Paul Otlet and the Birth of the</w:t>
      </w:r>
      <w:r>
        <w:rPr>
          <w:i/>
        </w:rPr>
        <w:t xml:space="preserve"> </w:t>
      </w:r>
      <w:r>
        <w:rPr>
          <w:i/>
        </w:rPr>
        <w:t xml:space="preserve">Information Age</w:t>
      </w:r>
      <w:r>
        <w:t xml:space="preserve">. Oxford: Oxford University Press, 2014.</w:t>
      </w:r>
      <w:r>
        <w:t xml:space="preserve"> </w:t>
      </w:r>
      <w:r>
        <w:t xml:space="preserve">http://vufind.carli.illinois.edu/vf-uiu/Record/uiu_7507894.</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adings-1"/>
      <w:bookmarkEnd w:id="48"/>
      <w:r>
        <w:t xml:space="preserve">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doi:10.1177/0165551508095781.</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doi:10.1353/jhi.2003.0014.</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w:t>
      </w:r>
      <w:r>
        <w:t xml:space="preserve"> </w:t>
      </w:r>
      <w:r>
        <w:t xml:space="preserve">doi:http://dx.doi.org/10.1016/j.lisr.2010.12.002.</w:t>
      </w:r>
    </w:p>
    <w:p>
      <w:pPr>
        <w:pStyle w:val="Heading3"/>
      </w:pPr>
      <w:bookmarkStart w:id="49" w:name="background-1"/>
      <w:bookmarkEnd w:id="49"/>
      <w:r>
        <w:t xml:space="preserve">Background</w:t>
      </w:r>
    </w:p>
    <w:p>
      <w:pPr>
        <w:pStyle w:val="FirstParagraph"/>
      </w:pPr>
      <w:r>
        <w:t xml:space="preserve">Bates, Marcia J. “Information Behavior.” In</w:t>
      </w:r>
      <w:r>
        <w:t xml:space="preserve"> </w:t>
      </w:r>
      <w:r>
        <w:rPr>
          <w:i/>
        </w:rPr>
        <w:t xml:space="preserve">Encyclopedia of Library and</w:t>
      </w:r>
      <w:r>
        <w:rPr>
          <w:i/>
        </w:rPr>
        <w:t xml:space="preserve"> </w:t>
      </w:r>
      <w:r>
        <w:rPr>
          <w:i/>
        </w:rPr>
        <w:t xml:space="preserve">Information Sciences, Third Edition</w:t>
      </w:r>
      <w:r>
        <w:t xml:space="preserve">, null:2381–91. null. Taylor &amp;</w:t>
      </w:r>
      <w:r>
        <w:t xml:space="preserve"> </w:t>
      </w:r>
      <w:r>
        <w:t xml:space="preserve">Francis, 2009.</w:t>
      </w:r>
      <w:r>
        <w:t xml:space="preserve"> </w:t>
      </w:r>
      <w:r>
        <w:t xml:space="preserve">http://www.tandfonline.com/doi/full/10.1081/E-ELIS3-120043263.</w:t>
      </w:r>
    </w:p>
    <w:p>
      <w:pPr>
        <w:pStyle w:val="BodyText"/>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doi:10.1002/asi.21700.</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doi:10.1016/j.ipm.2014.06.001.</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http://www.jstor.org/stable/25549558.</w:t>
      </w:r>
    </w:p>
    <w:p>
      <w:pPr>
        <w:pStyle w:val="BodyText"/>
      </w:pPr>
      <w:r>
        <w:t xml:space="preserve">Naumer, Charles M., and Karen E. Fisher. “Information Needs.” In</w:t>
      </w:r>
      <w:r>
        <w:t xml:space="preserve"> </w:t>
      </w:r>
      <w:r>
        <w:rPr>
          <w:i/>
        </w:rPr>
        <w:t xml:space="preserve">Encyclopedia of Library and Information Sciences, Third Edition</w:t>
      </w:r>
      <w:r>
        <w:t xml:space="preserve">,</w:t>
      </w:r>
      <w:r>
        <w:t xml:space="preserve"> </w:t>
      </w:r>
      <w:r>
        <w:t xml:space="preserve">null:2452–58. null. Taylor &amp; Francis, 2009.</w:t>
      </w:r>
      <w:r>
        <w:t xml:space="preserve"> </w:t>
      </w:r>
      <w:r>
        <w:t xml:space="preserve">http://www.tandfonline.com/doi/abs/10.1081/E-ELIS3-120043243.</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w:t>
      </w:r>
      <w:r>
        <w:t xml:space="preserve"> </w:t>
      </w:r>
      <w:r>
        <w:t xml:space="preserve">doi:10.1177/0165551508091309.</w:t>
      </w:r>
    </w:p>
    <w:p>
      <w:pPr>
        <w:pStyle w:val="Heading2"/>
      </w:pPr>
      <w:bookmarkStart w:id="50" w:name="week-3-september-6-research-methods"/>
      <w:bookmarkEnd w:id="50"/>
      <w:r>
        <w:t xml:space="preserve">Week 3, September 6: Research Methods</w:t>
      </w:r>
    </w:p>
    <w:p>
      <w:pPr>
        <w:pStyle w:val="Heading3"/>
      </w:pPr>
      <w:bookmarkStart w:id="51" w:name="readings-2"/>
      <w:bookmarkEnd w:id="51"/>
      <w:r>
        <w:t xml:space="preserve">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doi:10.1016/j.lisr.2006.08.009.</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doi:10.1016/S0099-1333(99)80173-6.</w:t>
      </w:r>
    </w:p>
    <w:p>
      <w:pPr>
        <w:pStyle w:val="Heading3"/>
      </w:pPr>
      <w:bookmarkStart w:id="52" w:name="background-2"/>
      <w:bookmarkEnd w:id="52"/>
      <w:r>
        <w:t xml:space="preserve">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w:t>
      </w:r>
      <w:r>
        <w:t xml:space="preserve"> </w:t>
      </w:r>
      <w:r>
        <w:t xml:space="preserve">http://search.ebscohost.com/login.aspx?direct=true&amp;db=nlebk&amp;AN=348676&amp;site=ehost-live.</w:t>
      </w:r>
    </w:p>
    <w:p>
      <w:pPr>
        <w:pStyle w:val="BodyText"/>
      </w:pPr>
      <w:r>
        <w:t xml:space="preserve">———. “Selecting the Research Method.” In</w:t>
      </w:r>
      <w:r>
        <w:t xml:space="preserve"> </w:t>
      </w:r>
      <w:r>
        <w:rPr>
          <w:i/>
        </w:rPr>
        <w:t xml:space="preserve">Basic Research Methods for</w:t>
      </w:r>
      <w:r>
        <w:rPr>
          <w:i/>
        </w:rPr>
        <w:t xml:space="preserve"> </w:t>
      </w:r>
      <w:r>
        <w:rPr>
          <w:i/>
        </w:rPr>
        <w:t xml:space="preserve">Librarians</w:t>
      </w:r>
      <w:r>
        <w:t xml:space="preserve">, 71–106. Library and Information Science Text Series. Santa</w:t>
      </w:r>
      <w:r>
        <w:t xml:space="preserve"> </w:t>
      </w:r>
      <w:r>
        <w:t xml:space="preserve">Barbara, Calif: Libraries Unlimited, 2010.</w:t>
      </w:r>
      <w:r>
        <w:t xml:space="preserve"> </w:t>
      </w:r>
      <w:r>
        <w:t xml:space="preserve">http://search.ebscohost.com/login.aspx?direct=true&amp;db=nlebk&amp;AN=348676&amp;site=ehost-live.</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doi:10.1016/j.lisr.2008.04.001.</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http://www.jstor.org/stable/4309020.</w:t>
      </w:r>
    </w:p>
    <w:p>
      <w:pPr>
        <w:pStyle w:val="BodyText"/>
      </w:pPr>
      <w:r>
        <w:t xml:space="preserve">Sutton, Brett. “Qualitative Research Methods in Library and Information</w:t>
      </w:r>
      <w:r>
        <w:t xml:space="preserve"> </w:t>
      </w:r>
      <w:r>
        <w:t xml:space="preserve">Science [ELIS Classic].” In</w:t>
      </w:r>
      <w:r>
        <w:t xml:space="preserve"> </w:t>
      </w:r>
      <w:r>
        <w:rPr>
          <w:i/>
        </w:rPr>
        <w:t xml:space="preserve">Encyclopedia of Library and Information</w:t>
      </w:r>
      <w:r>
        <w:rPr>
          <w:i/>
        </w:rPr>
        <w:t xml:space="preserve"> </w:t>
      </w:r>
      <w:r>
        <w:rPr>
          <w:i/>
        </w:rPr>
        <w:t xml:space="preserve">Sciences, Third Edition</w:t>
      </w:r>
      <w:r>
        <w:t xml:space="preserve">, null:4380–93. null. Taylor &amp; Francis, 2009.</w:t>
      </w:r>
      <w:r>
        <w:t xml:space="preserve"> </w:t>
      </w:r>
      <w:r>
        <w:t xml:space="preserve">http://dx.doi.org/10.1081/E-ELIS3-120044785.</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adings-3"/>
      <w:bookmarkEnd w:id="54"/>
      <w:r>
        <w:t xml:space="preserve">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 ACM</w:t>
      </w:r>
      <w:r>
        <w:t xml:space="preserve"> </w:t>
      </w:r>
      <w:r>
        <w:t xml:space="preserve">30, no. 11</w:t>
      </w:r>
      <w:r>
        <w:t xml:space="preserve"> </w:t>
      </w:r>
      <w:r>
        <w:t xml:space="preserve">(November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w:t>
      </w:r>
      <w:r>
        <w:t xml:space="preserve"> </w:t>
      </w:r>
      <w:r>
        <w:t xml:space="preserve">doi:10.1080/14772000.2013.818588.</w:t>
      </w:r>
    </w:p>
    <w:p>
      <w:pPr>
        <w:pStyle w:val="Heading3"/>
      </w:pPr>
      <w:bookmarkStart w:id="55" w:name="background-3"/>
      <w:bookmarkEnd w:id="55"/>
      <w:r>
        <w:t xml:space="preserve">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w:t>
      </w:r>
      <w:r>
        <w:t xml:space="preserve"> </w:t>
      </w:r>
      <w:r>
        <w:t xml:space="preserve">http://www.hpl.hp.com/hpjournal/dtj/vol5num3/vol5num3art2.pdf.</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adings-4"/>
      <w:bookmarkEnd w:id="57"/>
      <w:r>
        <w:t xml:space="preserve">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w:t>
      </w:r>
      <w:r>
        <w:t xml:space="preserve"> </w:t>
      </w:r>
      <w:r>
        <w:t xml:space="preserve">http://journals.tdl.org/jodi/article/view/226/205.</w:t>
      </w:r>
    </w:p>
    <w:p>
      <w:pPr>
        <w:pStyle w:val="BodyText"/>
      </w:pPr>
      <w:r>
        <w:t xml:space="preserve">Maxwell, R.L. “Bibliographic Control. 497-505.”</w:t>
      </w:r>
      <w:r>
        <w:t xml:space="preserve"> </w:t>
      </w:r>
      <w:r>
        <w:rPr>
          <w:i/>
        </w:rPr>
        <w:t xml:space="preserve">Encyclopedia of Library</w:t>
      </w:r>
      <w:r>
        <w:rPr>
          <w:i/>
        </w:rPr>
        <w:t xml:space="preserve"> </w:t>
      </w:r>
      <w:r>
        <w:rPr>
          <w:i/>
        </w:rPr>
        <w:t xml:space="preserve">and Information Sciences,</w:t>
      </w:r>
      <w:r>
        <w:t xml:space="preserve"> </w:t>
      </w:r>
      <w:r>
        <w:t xml:space="preserve">2010.</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“(2015) Zen and the Art of Metadata Maintenance.”</w:t>
      </w:r>
      <w:r>
        <w:t xml:space="preserve"> </w:t>
      </w:r>
      <w:r>
        <w:rPr>
          <w:i/>
        </w:rPr>
        <w:t xml:space="preserve">Journal</w:t>
      </w:r>
      <w:r>
        <w:rPr>
          <w:i/>
        </w:rPr>
        <w:t xml:space="preserve"> </w:t>
      </w:r>
      <w:r>
        <w:rPr>
          <w:i/>
        </w:rPr>
        <w:t xml:space="preserve">of Electronic Publishing</w:t>
      </w:r>
      <w:r>
        <w:t xml:space="preserve"> </w:t>
      </w:r>
      <w:r>
        <w:t xml:space="preserve">18, no. 3 (2015).</w:t>
      </w:r>
      <w:r>
        <w:t xml:space="preserve"> </w:t>
      </w:r>
      <w:r>
        <w:t xml:space="preserve">http://dx.doi.org/10.3998/3336451.0018.305.</w:t>
      </w:r>
    </w:p>
    <w:p>
      <w:pPr>
        <w:pStyle w:val="Heading3"/>
      </w:pPr>
      <w:bookmarkStart w:id="58" w:name="background-4"/>
      <w:bookmarkEnd w:id="58"/>
      <w:r>
        <w:t xml:space="preserve">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adings-5"/>
      <w:bookmarkEnd w:id="60"/>
      <w:r>
        <w:t xml:space="preserve">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w:t>
      </w:r>
      <w:r>
        <w:t xml:space="preserve"> </w:t>
      </w:r>
      <w:r>
        <w:t xml:space="preserve">http://lj.libraryjournal.com/2013/04/publishing/whats-the-</w:t>
      </w:r>
      <w:r>
        <w:t xml:space="preserve"> </w:t>
      </w:r>
      <w:r>
        <w:t xml:space="preserve">problem-with-self-publishing/.</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doi:10.1086/648464.</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background-5"/>
      <w:bookmarkEnd w:id="61"/>
      <w:r>
        <w:t xml:space="preserve">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http://blogpublic.lib.msu.edu/index.php/dscsandbox/digital-collection-and-accessibility.</w:t>
      </w:r>
    </w:p>
    <w:p>
      <w:pPr>
        <w:pStyle w:val="Heading2"/>
      </w:pPr>
      <w:bookmarkStart w:id="62" w:name="week-7-october-4-preservation"/>
      <w:bookmarkEnd w:id="62"/>
      <w:r>
        <w:t xml:space="preserve">Week 7, October 4: Preservation</w:t>
      </w:r>
    </w:p>
    <w:p>
      <w:pPr>
        <w:pStyle w:val="Heading3"/>
      </w:pPr>
      <w:bookmarkStart w:id="63" w:name="readings-6"/>
      <w:bookmarkEnd w:id="63"/>
      <w:r>
        <w:t xml:space="preserve">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w:t>
      </w:r>
      <w:r>
        <w:t xml:space="preserve"> </w:t>
      </w:r>
      <w:r>
        <w:t xml:space="preserve">http://rameshsrinivasan.org/wordpress/wp-content/uploads/2010/03/8-Final-ShiltonSrinivasan-Archivaria.pdf.</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w:t>
      </w:r>
      <w:r>
        <w:t xml:space="preserve"> </w:t>
      </w:r>
      <w:r>
        <w:t xml:space="preserve">http://search.ebscohost.com/login.aspx?direct=true&amp;db=a9h&amp;AN=99263271&amp;site=ehost-live.</w:t>
      </w:r>
    </w:p>
    <w:p>
      <w:pPr>
        <w:pStyle w:val="Heading3"/>
      </w:pPr>
      <w:bookmarkStart w:id="64" w:name="background-6"/>
      <w:bookmarkEnd w:id="64"/>
      <w:r>
        <w:t xml:space="preserve">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adings-7"/>
      <w:bookmarkEnd w:id="66"/>
      <w:r>
        <w:t xml:space="preserve">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doi:10.1016/j.lisr.2007.03.004.</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doi:10.1353/lib.2012.0030.</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 London</w:t>
      </w:r>
      <w:r>
        <w:t xml:space="preserve">. London: Facet Publishing,</w:t>
      </w:r>
      <w:r>
        <w:t xml:space="preserve"> </w:t>
      </w:r>
      <w:r>
        <w:t xml:space="preserve">2011. https://reserves.library.illinois.edu/.</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w:t>
      </w:r>
      <w:r>
        <w:t xml:space="preserve"> </w:t>
      </w:r>
      <w:r>
        <w:t xml:space="preserve">doi:10.1108/JD-04-2012-0041.</w:t>
      </w:r>
    </w:p>
    <w:p>
      <w:pPr>
        <w:pStyle w:val="Heading3"/>
      </w:pPr>
      <w:bookmarkStart w:id="67" w:name="background-7"/>
      <w:bookmarkEnd w:id="67"/>
      <w:r>
        <w:t xml:space="preserve">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http://www.informationr.net/ir/12-4/paper330.html.</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w:t>
      </w:r>
      <w:r>
        <w:t xml:space="preserve"> </w:t>
      </w:r>
      <w:r>
        <w:t xml:space="preserve">https://journal.lib.uoguelph.ca/index.php/perj/article/view/2503.</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w:t>
      </w:r>
      <w:r>
        <w:t xml:space="preserve"> </w:t>
      </w:r>
      <w:r>
        <w:t xml:space="preserve">doi:10.1016/j.ipm.2012.12.006.</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Heading2"/>
      </w:pPr>
      <w:bookmarkStart w:id="68" w:name="week-9-october-18-evaluation-of-systems-and-services"/>
      <w:bookmarkEnd w:id="68"/>
      <w:r>
        <w:t xml:space="preserve">Week 9, October 18: Evaluation of systems and services</w:t>
      </w:r>
    </w:p>
    <w:p>
      <w:pPr>
        <w:pStyle w:val="Heading3"/>
      </w:pPr>
      <w:bookmarkStart w:id="69" w:name="readings-8"/>
      <w:bookmarkEnd w:id="69"/>
      <w:r>
        <w:t xml:space="preserve">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doi:10.5860/crl-374.</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doi:10.1016/S0099-1333(96)90056-7.</w:t>
      </w:r>
    </w:p>
    <w:p>
      <w:pPr>
        <w:pStyle w:val="Heading3"/>
      </w:pPr>
      <w:bookmarkStart w:id="70" w:name="background-8"/>
      <w:bookmarkEnd w:id="70"/>
      <w:r>
        <w:t xml:space="preserve">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doi:10.1007/s00799-007-0011-z.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http://dx.doi.org/10.1007/3-540-45691-0_34.</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adings-9"/>
      <w:bookmarkEnd w:id="72"/>
      <w:r>
        <w:t xml:space="preserve">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w:t>
      </w:r>
      <w:r>
        <w:t xml:space="preserve"> </w:t>
      </w:r>
      <w:r>
        <w:t xml:space="preserve">http://www.emeraldinsight.com/doi/abs/10.1108/00220411211209168.</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http://eric.ed.gov/?id=EJ859403.</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w:t>
      </w:r>
      <w:r>
        <w:t xml:space="preserve"> </w:t>
      </w:r>
      <w:r>
        <w:t xml:space="preserve">http://www.tandfonline.com/doi/abs/10.1080/01639374.2012.658989.</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w:t>
      </w:r>
      <w:r>
        <w:t xml:space="preserve"> </w:t>
      </w:r>
      <w:r>
        <w:t xml:space="preserve">https://journal.lib.uoguelph.ca/index.php/perj/article/view/1427.</w:t>
      </w:r>
    </w:p>
    <w:p>
      <w:pPr>
        <w:pStyle w:val="Heading3"/>
      </w:pPr>
      <w:bookmarkStart w:id="73" w:name="background-9"/>
      <w:bookmarkEnd w:id="73"/>
      <w:r>
        <w:t xml:space="preserve">Background</w:t>
      </w:r>
    </w:p>
    <w:p>
      <w:pPr>
        <w:pStyle w:val="FirstParagraph"/>
      </w:pPr>
      <w:r>
        <w:t xml:space="preserve">Anderson, James Doig, and José Pérez-Carballo. “Library of Congress</w:t>
      </w:r>
      <w:r>
        <w:t xml:space="preserve"> </w:t>
      </w:r>
      <w:r>
        <w:t xml:space="preserve">Subject Headings (LCSH).” In</w:t>
      </w:r>
      <w:r>
        <w:t xml:space="preserve"> </w:t>
      </w:r>
      <w:r>
        <w:rPr>
          <w:i/>
        </w:rPr>
        <w:t xml:space="preserve">Encyclopedia of Library and Information</w:t>
      </w:r>
      <w:r>
        <w:rPr>
          <w:i/>
        </w:rPr>
        <w:t xml:space="preserve"> </w:t>
      </w:r>
      <w:r>
        <w:rPr>
          <w:i/>
        </w:rPr>
        <w:t xml:space="preserve">Sciences, Third Edition</w:t>
      </w:r>
      <w:r>
        <w:t xml:space="preserve">, 3392–3405. Taylor &amp; Francis, 2009.</w:t>
      </w:r>
      <w:r>
        <w:t xml:space="preserve"> </w:t>
      </w:r>
      <w:r>
        <w:t xml:space="preserve">http://www.tandfonline.com/doi/abs/10.1081/E-ELIS3-120043717.</w:t>
      </w:r>
    </w:p>
    <w:p>
      <w:pPr>
        <w:pStyle w:val="BodyText"/>
      </w:pPr>
      <w:r>
        <w:t xml:space="preserve">Beghtol, Clare. “Classification Theory.” In</w:t>
      </w:r>
      <w:r>
        <w:t xml:space="preserve"> </w:t>
      </w:r>
      <w:r>
        <w:rPr>
          <w:i/>
        </w:rPr>
        <w:t xml:space="preserve">Encyclopedia of Library and</w:t>
      </w:r>
      <w:r>
        <w:rPr>
          <w:i/>
        </w:rPr>
        <w:t xml:space="preserve"> </w:t>
      </w:r>
      <w:r>
        <w:rPr>
          <w:i/>
        </w:rPr>
        <w:t xml:space="preserve">Information Sciences, Third Edition</w:t>
      </w:r>
      <w:r>
        <w:t xml:space="preserve">, 1045–60. Taylor &amp; Francis, 2009.</w:t>
      </w:r>
      <w:r>
        <w:t xml:space="preserve"> </w:t>
      </w:r>
      <w:r>
        <w:t xml:space="preserve">http://www.tandfonline.com/doi/abs/10.1081/E-ELIS3-120043230.</w:t>
      </w:r>
    </w:p>
    <w:p>
      <w:pPr>
        <w:pStyle w:val="BodyText"/>
      </w:pPr>
      <w:r>
        <w:t xml:space="preserve">Chan, Lois Mai, and Theodora L. Hodges. “Library of Congress</w:t>
      </w:r>
      <w:r>
        <w:t xml:space="preserve"> </w:t>
      </w:r>
      <w:r>
        <w:t xml:space="preserve">Classification (LCC).” In</w:t>
      </w:r>
      <w:r>
        <w:t xml:space="preserve"> </w:t>
      </w:r>
      <w:r>
        <w:rPr>
          <w:i/>
        </w:rPr>
        <w:t xml:space="preserve">Encyclopedia of Library and Information</w:t>
      </w:r>
      <w:r>
        <w:rPr>
          <w:i/>
        </w:rPr>
        <w:t xml:space="preserve"> </w:t>
      </w:r>
      <w:r>
        <w:rPr>
          <w:i/>
        </w:rPr>
        <w:t xml:space="preserve">Sciences, Third Edition</w:t>
      </w:r>
      <w:r>
        <w:t xml:space="preserve">, 3383–91. Taylor &amp; Francis, 2009.</w:t>
      </w:r>
      <w:r>
        <w:t xml:space="preserve"> </w:t>
      </w:r>
      <w:r>
        <w:t xml:space="preserve">http://www.tandfonline.com/doi/abs/10.1081/E-ELIS3-120043714.</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r>
        <w:t xml:space="preserve"> </w:t>
      </w:r>
      <w:r>
        <w:t xml:space="preserve">http://www.tandfonline.com/doi/abs/10.1080/01639374.2012.740610.</w:t>
      </w:r>
    </w:p>
    <w:p>
      <w:pPr>
        <w:pStyle w:val="BodyText"/>
      </w:pPr>
      <w:r>
        <w:t xml:space="preserve">Mitchell, Joan S., and Diane Vizine-Goetz. “Dewey Decimal Classification</w:t>
      </w:r>
      <w:r>
        <w:t xml:space="preserve"> </w:t>
      </w:r>
      <w:r>
        <w:t xml:space="preserve">(DDC).” In</w:t>
      </w:r>
      <w:r>
        <w:t xml:space="preserve"> </w:t>
      </w:r>
      <w:r>
        <w:rPr>
          <w:i/>
        </w:rPr>
        <w:t xml:space="preserve">Encyclopedia of Library and Information Sciences, Third</w:t>
      </w:r>
      <w:r>
        <w:rPr>
          <w:i/>
        </w:rPr>
        <w:t xml:space="preserve"> </w:t>
      </w:r>
      <w:r>
        <w:rPr>
          <w:i/>
        </w:rPr>
        <w:t xml:space="preserve">Edition</w:t>
      </w:r>
      <w:r>
        <w:t xml:space="preserve">, 1507–17. Taylor &amp; Francis, 2009.</w:t>
      </w:r>
      <w:r>
        <w:t xml:space="preserve"> </w:t>
      </w:r>
      <w:r>
        <w:t xml:space="preserve">http://www.tandfonline.com/doi/abs/10.1081/E-ELIS3-120043240.</w:t>
      </w:r>
    </w:p>
    <w:p>
      <w:pPr>
        <w:pStyle w:val="Heading1"/>
      </w:pPr>
      <w:bookmarkStart w:id="74" w:name="assignments-and-evaluation"/>
      <w:bookmarkEnd w:id="74"/>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75" w:name="Asgt1"/>
      <w:bookmarkEnd w:id="75"/>
      <w:r>
        <w:t xml:space="preserve">Assignment 1 Information Needs/Information Seeking Behavior</w:t>
      </w:r>
    </w:p>
    <w:p>
      <w:pPr>
        <w:pStyle w:val="FirstParagraph"/>
      </w:pPr>
      <w:r>
        <w:t xml:space="preserve">Due September 1. This assignment is worth 20 points.</w:t>
      </w:r>
    </w:p>
    <w:p>
      <w:pPr>
        <w:pStyle w:val="Heading2"/>
      </w:pPr>
      <w:bookmarkStart w:id="76" w:name="rationale"/>
      <w:bookmarkEnd w:id="76"/>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7">
        <w:r>
          <w:rPr>
            <w:rStyle w:val="Hyperlink"/>
          </w:rPr>
          <w:t xml:space="preserve">http://InformationR.net/rm/</w:t>
        </w:r>
      </w:hyperlink>
    </w:p>
    <w:p>
      <w:pPr>
        <w:pStyle w:val="Heading2"/>
      </w:pPr>
      <w:bookmarkStart w:id="78" w:name="tasks"/>
      <w:bookmarkEnd w:id="78"/>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9" w:name="deliverable"/>
      <w:bookmarkEnd w:id="79"/>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80" w:name="submitting"/>
      <w:bookmarkEnd w:id="80"/>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1" w:name="strategies-for-locating-research-studies"/>
      <w:bookmarkEnd w:id="81"/>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5">
        <w:r>
          <w:rPr>
            <w:rStyle w:val="Hyperlink"/>
          </w:rPr>
          <w:t xml:space="preserve">http://www.library.illinois.edu/lsx/</w:t>
        </w:r>
      </w:hyperlink>
    </w:p>
    <w:p>
      <w:pPr>
        <w:pStyle w:val="Compact"/>
        <w:numPr>
          <w:numId w:val="1007"/>
          <w:ilvl w:val="0"/>
        </w:numPr>
      </w:pPr>
      <w:hyperlink r:id="rId26">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5">
        <w:r>
          <w:rPr>
            <w:rStyle w:val="Hyperlink"/>
          </w:rPr>
          <w:t xml:space="preserve">http://www.library.illinois.edu/lsx/</w:t>
        </w:r>
      </w:hyperlink>
    </w:p>
    <w:p>
      <w:pPr>
        <w:pStyle w:val="Compact"/>
        <w:numPr>
          <w:numId w:val="1008"/>
          <w:ilvl w:val="0"/>
        </w:numPr>
      </w:pPr>
      <w:hyperlink r:id="rId26">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BodyText"/>
      </w:pPr>
      <w:r>
        <w:t xml:space="preserve">Due September 29. This assignment is worth 20 points.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5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t xml:space="preserve">Research Question due September 8, to be posted to the class discussion forum designated by your instructor</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t xml:space="preserve">Research Methods due September 22, to be posted to the class discussion forum designated by your instructor</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t xml:space="preserve">Resource List due October 6, to the class discussion forum designated by your instructor</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DefinitionTerm"/>
      </w:pPr>
      <w:r>
        <w:t xml:space="preserve">Due October 27 Two page extended abstract</w:t>
      </w:r>
    </w:p>
    <w:p>
      <w:pPr>
        <w:pStyle w:val="Compact"/>
        <w:pStyle w:val="Definition"/>
      </w:pPr>
      <w:r>
        <w:t xml:space="preserve">Develop the two paragraph summary of your research question into a two page extended abstract. Focus on describing</w:t>
      </w:r>
      <w:r>
        <w:t xml:space="preserve"> </w:t>
      </w:r>
      <w:r>
        <w:t xml:space="preserve">and justifying the methods for investigating your research question. The extended abstract is a proposal. It should include a statement of</w:t>
      </w:r>
      <w:r>
        <w:t xml:space="preserve"> </w:t>
      </w:r>
      <w:r>
        <w:t xml:space="preserve">your research problem, a description of research methods for</w:t>
      </w:r>
      <w:r>
        <w:t xml:space="preserve"> </w:t>
      </w:r>
      <w:r>
        <w:t xml:space="preserve">investigating the problem, and an explanation of what form the results</w:t>
      </w:r>
      <w:r>
        <w:t xml:space="preserve"> </w:t>
      </w:r>
      <w:r>
        <w:t xml:space="preserve">of the investigation will take.</w:t>
      </w:r>
    </w:p>
    <w:p>
      <w:pPr>
        <w:pStyle w:val="DefinitionTerm"/>
      </w:pPr>
      <w:r>
        <w:t xml:space="preserve">Due October 27 Annotated bibliography of 20 items</w:t>
      </w:r>
    </w:p>
    <w:p>
      <w:pPr>
        <w:pStyle w:val="Compact"/>
        <w:pStyle w:val="Definition"/>
      </w:pPr>
      <w:r>
        <w:t xml:space="preserve">Following the Purdue Writing Lab Guidelines, create a document that integrates annotations with</w:t>
      </w:r>
      <w:r>
        <w:t xml:space="preserve"> </w:t>
      </w:r>
      <w:r>
        <w:t xml:space="preserve">formatted entries. For each resource, write an annotation that situates the work presented with respect to your research question. 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DefinitionTerm"/>
      </w:pPr>
      <w:r>
        <w:t xml:space="preserve">Due October 27 Five minute oral presentation</w:t>
      </w:r>
    </w:p>
    <w:p>
      <w:pPr>
        <w:pStyle w:val="Compact"/>
        <w:pStyle w:val="Definition"/>
      </w:pPr>
      <w:r>
        <w:t xml:space="preserve">Use this presentation to efficiently summarize</w:t>
      </w:r>
      <w:r>
        <w:t xml:space="preserve"> </w:t>
      </w:r>
      <w:r>
        <w:t xml:space="preserve">the relevance of this problem to people and</w:t>
      </w:r>
      <w:r>
        <w:t xml:space="preserve"> </w:t>
      </w:r>
      <w:r>
        <w:t xml:space="preserve">organizations who have a stake in resolving the</w:t>
      </w:r>
      <w:r>
        <w:t xml:space="preserve"> </w:t>
      </w:r>
      <w:r>
        <w:t xml:space="preserve">knowledge gap that you have identified. Do explain</w:t>
      </w:r>
      <w:r>
        <w:t xml:space="preserve"> </w:t>
      </w:r>
      <w:r>
        <w:t xml:space="preserve">the general approach to investigating the question, but</w:t>
      </w:r>
      <w:r>
        <w:t xml:space="preserve"> </w:t>
      </w:r>
      <w:r>
        <w:t xml:space="preserve">save methodological details for the extended abstract. Five minute summaries are difficult, so practice your presentation 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5"/>
          <w:ilvl w:val="0"/>
        </w:numPr>
      </w:pPr>
      <w:hyperlink r:id="rId109">
        <w:r>
          <w:rPr>
            <w:rStyle w:val="Hyperlink"/>
          </w:rPr>
          <w:t xml:space="preserve">Walliman on defining the research problem</w:t>
        </w:r>
      </w:hyperlink>
    </w:p>
    <w:p>
      <w:pPr>
        <w:pStyle w:val="Compact"/>
        <w:numPr>
          <w:numId w:val="1025"/>
          <w:ilvl w:val="0"/>
        </w:numPr>
      </w:pPr>
      <w:hyperlink r:id="rId104">
        <w:r>
          <w:rPr>
            <w:rStyle w:val="Hyperlink"/>
          </w:rPr>
          <w:t xml:space="preserve">Purdue University resources on annotated bibliographies</w:t>
        </w:r>
      </w:hyperlink>
    </w:p>
    <w:p>
      <w:pPr>
        <w:pStyle w:val="Compact"/>
        <w:numPr>
          <w:numId w:val="1025"/>
          <w:ilvl w:val="0"/>
        </w:numPr>
      </w:pPr>
      <w:hyperlink r:id="rId110">
        <w:r>
          <w:rPr>
            <w:rStyle w:val="Hyperlink"/>
          </w:rPr>
          <w:t xml:space="preserve">Background readings on research methods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65d9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7785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30b86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7"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26"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25" Target="https://reserves.library.illinois.edu/ares/"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