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Sat,</w:t>
      </w:r>
      <w:r>
        <w:t xml:space="preserve"> </w:t>
      </w:r>
      <w:r>
        <w:t xml:space="preserve">Aug</w:t>
      </w:r>
      <w:r>
        <w:t xml:space="preserve"> </w:t>
      </w:r>
      <w:r>
        <w:t xml:space="preserve">13,</w:t>
      </w:r>
      <w:r>
        <w:t xml:space="preserve"> </w:t>
      </w:r>
      <w:r>
        <w:t xml:space="preserve">2016</w:t>
      </w:r>
      <w:r>
        <w:t xml:space="preserve"> </w:t>
      </w:r>
      <w:r>
        <w:t xml:space="preserve">3:06:10</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library-resources"/>
      <w:bookmarkEnd w:id="33"/>
      <w:r>
        <w:t xml:space="preserve">Library Resources</w:t>
      </w:r>
    </w:p>
    <w:p>
      <w:pPr>
        <w:pStyle w:val="FirstParagraph"/>
      </w:pPr>
      <w:hyperlink r:id="rId34">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5" w:name="writing-resources"/>
      <w:bookmarkEnd w:id="35"/>
      <w:r>
        <w:t xml:space="preserve">Writing Resources</w:t>
      </w:r>
    </w:p>
    <w:p>
      <w:pPr>
        <w:pStyle w:val="FirstParagraph"/>
      </w:pPr>
      <w:r>
        <w:t xml:space="preserve">The Writers Workshop provides free consultations. For more 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2" w:name="assignments-and-evaluation"/>
      <w:bookmarkEnd w:id="42"/>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Zotero bibliography and formatting (September 29)</w:t>
      </w:r>
    </w:p>
    <w:p>
      <w:pPr>
        <w:pStyle w:val="Compact"/>
        <w:numPr>
          <w:numId w:val="1004"/>
          <w:ilvl w:val="0"/>
        </w:numPr>
      </w:pPr>
      <w:r>
        <w:t xml:space="preserve">Cultural heritage object description (September 15)</w:t>
      </w:r>
    </w:p>
    <w:p>
      <w:pPr>
        <w:pStyle w:val="Compact"/>
        <w:numPr>
          <w:numId w:val="1004"/>
          <w:ilvl w:val="0"/>
        </w:numPr>
      </w:pPr>
      <w:r>
        <w:t xml:space="preserve">Research methods exercise (September 22)</w:t>
      </w:r>
    </w:p>
    <w:p>
      <w:pPr>
        <w:pStyle w:val="Compact"/>
        <w:numPr>
          <w:numId w:val="1004"/>
          <w:ilvl w:val="0"/>
        </w:numPr>
      </w:pPr>
      <w:r>
        <w:t xml:space="preserve">Pandoc encoding and transformation (September 8)</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3" w:name="Asgt1"/>
      <w:bookmarkEnd w:id="43"/>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4" w:name="rationale"/>
      <w:bookmarkEnd w:id="4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5">
        <w:r>
          <w:rPr>
            <w:rStyle w:val="Hyperlink"/>
          </w:rPr>
          <w:t xml:space="preserve">http://InformationR.net/rm/</w:t>
        </w:r>
      </w:hyperlink>
    </w:p>
    <w:p>
      <w:pPr>
        <w:pStyle w:val="Heading2"/>
      </w:pPr>
      <w:bookmarkStart w:id="46" w:name="tasks"/>
      <w:bookmarkEnd w:id="46"/>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7" w:name="deliverable"/>
      <w:bookmarkEnd w:id="4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8" w:name="submitting"/>
      <w:bookmarkEnd w:id="48"/>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49" w:name="strategies-for-locating-research-studies"/>
      <w:bookmarkEnd w:id="49"/>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r>
        <w:t xml:space="preserve"> </w:t>
      </w:r>
      <w:r>
        <w:t xml:space="preserve">(link from</w:t>
      </w:r>
      <w:r>
        <w:t xml:space="preserve"> </w:t>
      </w:r>
      <w:hyperlink r:id="rId34">
        <w:r>
          <w:rPr>
            <w:rStyle w:val="Hyperlink"/>
          </w:rPr>
          <w:t xml:space="preserve">http://www.library.illinois.edu/lsx/</w:t>
        </w:r>
      </w:hyperlink>
      <w:r>
        <w:t xml:space="preserve"> </w:t>
      </w:r>
      <w:hyperlink r:id="rId50">
        <w:r>
          <w:rPr>
            <w:rStyle w:val="Hyperlink"/>
          </w:rPr>
          <w:t xml:space="preserve">http://openurl.library.uiuc.edu/sfxlcl3/az)</w:t>
        </w:r>
      </w:hyperlink>
    </w:p>
    <w:p>
      <w:pPr>
        <w:pStyle w:val="BodyText"/>
      </w:pPr>
      <w:r>
        <w:t xml:space="preserve">Articles indexed under the descriptor "Information seeking behaviour"</w:t>
      </w:r>
      <w:r>
        <w:t xml:space="preserve"> </w:t>
      </w:r>
      <w:r>
        <w:t xml:space="preserve">or "User needs" in LISA (link from</w:t>
      </w:r>
      <w:r>
        <w:t xml:space="preserve"> </w:t>
      </w:r>
      <w:hyperlink r:id="rId34">
        <w:r>
          <w:rPr>
            <w:rStyle w:val="Hyperlink"/>
          </w:rPr>
          <w:t xml:space="preserve">http://www.library.illinois.edu/lsx/</w:t>
        </w:r>
      </w:hyperlink>
      <w:r>
        <w:t xml:space="preserve"> </w:t>
      </w:r>
      <w:hyperlink r:id="rId26">
        <w:r>
          <w:rPr>
            <w:rStyle w:val="Hyperlink"/>
          </w:rPr>
          <w:t xml:space="preserve">http://openurl.library.uiuc.edu/sfxlcl3/az</w:t>
        </w:r>
      </w:hyperlink>
      <w:r>
        <w:t xml:space="preserve"> </w:t>
      </w:r>
      <w:hyperlink r:id="rId51">
        <w:r>
          <w:rPr>
            <w:rStyle w:val="Hyperlink"/>
          </w:rPr>
          <w:t xml:space="preserve">http://www.library.uiuc.edu/orr/results.php?types=A&amp;subject=29)</w:t>
        </w:r>
      </w:hyperlink>
    </w:p>
    <w:p>
      <w:pPr>
        <w:pStyle w:val="BodyText"/>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BodyText"/>
      </w:pPr>
      <w:hyperlink r:id="rId52">
        <w:r>
          <w:rPr>
            <w:rStyle w:val="Hyperlink"/>
          </w:rPr>
          <w:t xml:space="preserve">http://uiuc.libguides.com/content.php?pid=28713&amp;sid=209698</w:t>
        </w:r>
      </w:hyperlink>
      <w:r>
        <w:t xml:space="preserve"> </w:t>
      </w:r>
      <w:hyperlink r:id="rId53">
        <w:r>
          <w:rPr>
            <w:rStyle w:val="Hyperlink"/>
          </w:rPr>
          <w:t xml:space="preserve">http://uiuc.libguides.com/content.php?pid=28713&amp;sid=214766</w:t>
        </w:r>
      </w:hyperlink>
      <w:r>
        <w:t xml:space="preserve"> </w:t>
      </w:r>
      <w:hyperlink r:id="rId53">
        <w:r>
          <w:rPr>
            <w:rStyle w:val="Hyperlink"/>
          </w:rPr>
          <w:t xml:space="preserve">http://uiuc.libguides.com/content.php?pid=28713&amp;sid=214766</w:t>
        </w:r>
      </w:hyperlink>
    </w:p>
    <w:p>
      <w:pPr>
        <w:pStyle w:val="Heading1"/>
      </w:pPr>
      <w:bookmarkStart w:id="54" w:name="Asgt2"/>
      <w:bookmarkEnd w:id="54"/>
      <w:r>
        <w:t xml:space="preserve">Assignment 2 Digital Collections Assessment</w:t>
      </w:r>
    </w:p>
    <w:p>
      <w:pPr>
        <w:pStyle w:val="Heading2"/>
      </w:pPr>
      <w:bookmarkStart w:id="55" w:name="summary"/>
      <w:bookmarkEnd w:id="55"/>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October 2 by midnight. This assignment is worth 20 points.</w:t>
      </w:r>
    </w:p>
    <w:p>
      <w:pPr>
        <w:pStyle w:val="Heading2"/>
      </w:pPr>
      <w:bookmarkStart w:id="56" w:name="before-you-begin"/>
      <w:bookmarkEnd w:id="56"/>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57" w:name="rationale-1"/>
      <w:bookmarkEnd w:id="57"/>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58" w:name="tasks-1"/>
      <w:bookmarkEnd w:id="58"/>
      <w:r>
        <w:t xml:space="preserve">Tasks</w:t>
      </w:r>
    </w:p>
    <w:p>
      <w:pPr>
        <w:pStyle w:val="Compact"/>
        <w:numPr>
          <w:numId w:val="1007"/>
          <w:ilvl w:val="0"/>
        </w:numPr>
      </w:pPr>
      <w:r>
        <w:t xml:space="preserve">Pick a topic of interest to you; perhaps something related to your final project.</w:t>
      </w:r>
    </w:p>
    <w:p>
      <w:pPr>
        <w:pStyle w:val="Compact"/>
        <w:numPr>
          <w:numId w:val="1007"/>
          <w:ilvl w:val="0"/>
        </w:numPr>
      </w:pPr>
      <w:r>
        <w:t xml:space="preserve">Browse across these three differing approaches to digital collections:</w:t>
      </w:r>
    </w:p>
    <w:p>
      <w:pPr>
        <w:pStyle w:val="Compact"/>
        <w:numPr>
          <w:numId w:val="1008"/>
          <w:ilvl w:val="1"/>
        </w:numPr>
      </w:pPr>
      <w:hyperlink r:id="rId59">
        <w:r>
          <w:rPr>
            <w:rStyle w:val="Hyperlink"/>
          </w:rPr>
          <w:t xml:space="preserve">DPLA exhibitions</w:t>
        </w:r>
      </w:hyperlink>
      <w:r>
        <w:t xml:space="preserve"> </w:t>
      </w:r>
      <w:r>
        <w:t xml:space="preserve">(28 exhibitions)</w:t>
      </w:r>
    </w:p>
    <w:p>
      <w:pPr>
        <w:pStyle w:val="Compact"/>
        <w:numPr>
          <w:numId w:val="1008"/>
          <w:ilvl w:val="1"/>
        </w:numPr>
      </w:pPr>
      <w:hyperlink r:id="rId60">
        <w:r>
          <w:rPr>
            <w:rStyle w:val="Hyperlink"/>
          </w:rPr>
          <w:t xml:space="preserve">FLICKR galleries</w:t>
        </w:r>
      </w:hyperlink>
      <w:r>
        <w:t xml:space="preserve"> </w:t>
      </w:r>
      <w:r>
        <w:t xml:space="preserve">(there are 322)</w:t>
      </w:r>
    </w:p>
    <w:p>
      <w:pPr>
        <w:pStyle w:val="Compact"/>
        <w:numPr>
          <w:numId w:val="1008"/>
          <w:ilvl w:val="1"/>
        </w:numPr>
      </w:pPr>
      <w:hyperlink r:id="rId61">
        <w:r>
          <w:rPr>
            <w:rStyle w:val="Hyperlink"/>
          </w:rPr>
          <w:t xml:space="preserve">Europeana Pinterest boards</w:t>
        </w:r>
      </w:hyperlink>
      <w:r>
        <w:t xml:space="preserve"> </w:t>
      </w:r>
      <w:r>
        <w:t xml:space="preserve">(74 boards).</w:t>
      </w:r>
    </w:p>
    <w:p>
      <w:pPr>
        <w:pStyle w:val="Compact"/>
        <w:numPr>
          <w:numId w:val="1007"/>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09"/>
          <w:ilvl w:val="1"/>
        </w:numPr>
      </w:pPr>
      <w:r>
        <w:t xml:space="preserve">How easy was it for you to find your exemplar?</w:t>
      </w:r>
    </w:p>
    <w:p>
      <w:pPr>
        <w:pStyle w:val="Compact"/>
        <w:numPr>
          <w:numId w:val="1009"/>
          <w:ilvl w:val="1"/>
        </w:numPr>
      </w:pPr>
      <w:r>
        <w:t xml:space="preserve">Was it hard to determine what individual or institution is responsible for your exemplar?</w:t>
      </w:r>
    </w:p>
    <w:p>
      <w:pPr>
        <w:pStyle w:val="Compact"/>
        <w:numPr>
          <w:numId w:val="1009"/>
          <w:ilvl w:val="1"/>
        </w:numPr>
      </w:pPr>
      <w:r>
        <w:t xml:space="preserve">Would it be appropriate to call your exemplar a collection? If so, why? If not, why not?</w:t>
      </w:r>
    </w:p>
    <w:p>
      <w:pPr>
        <w:pStyle w:val="Compact"/>
        <w:numPr>
          <w:numId w:val="1009"/>
          <w:ilvl w:val="1"/>
        </w:numPr>
      </w:pPr>
      <w:r>
        <w:t xml:space="preserve">What categories of users is your exemplar intended to serve?</w:t>
      </w:r>
    </w:p>
    <w:p>
      <w:pPr>
        <w:pStyle w:val="Compact"/>
        <w:numPr>
          <w:numId w:val="1009"/>
          <w:ilvl w:val="1"/>
        </w:numPr>
      </w:pPr>
      <w:r>
        <w:t xml:space="preserve">How would you characterize the content and scope of your exemplar?</w:t>
      </w:r>
    </w:p>
    <w:p>
      <w:pPr>
        <w:pStyle w:val="Compact"/>
        <w:numPr>
          <w:numId w:val="1009"/>
          <w:ilvl w:val="1"/>
        </w:numPr>
      </w:pPr>
      <w:r>
        <w:t xml:space="preserve">Can a user easily grasp the scope and arrangement?</w:t>
      </w:r>
    </w:p>
    <w:p>
      <w:pPr>
        <w:pStyle w:val="Compact"/>
        <w:numPr>
          <w:numId w:val="1009"/>
          <w:ilvl w:val="1"/>
        </w:numPr>
      </w:pPr>
      <w:r>
        <w:t xml:space="preserve">How do the available content and organization serve the needs of the intended users?</w:t>
      </w:r>
    </w:p>
    <w:p>
      <w:pPr>
        <w:pStyle w:val="Compact"/>
        <w:numPr>
          <w:numId w:val="1009"/>
          <w:ilvl w:val="1"/>
        </w:numPr>
      </w:pPr>
      <w:r>
        <w:t xml:space="preserve">Does the exemplar meet or exceed expectations for accessibility?</w:t>
      </w:r>
    </w:p>
    <w:p>
      <w:pPr>
        <w:pStyle w:val="Heading2"/>
      </w:pPr>
      <w:bookmarkStart w:id="62" w:name="deliverables"/>
      <w:bookmarkEnd w:id="62"/>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63" w:name="submitting-1"/>
      <w:bookmarkEnd w:id="63"/>
      <w:r>
        <w:t xml:space="preserve">Submitting</w:t>
      </w:r>
    </w:p>
    <w:p>
      <w:pPr>
        <w:pStyle w:val="FirstParagraph"/>
      </w:pPr>
      <w:r>
        <w:t xml:space="preserve">Upload the essay to the Moodle section designated for this assignment.</w:t>
      </w:r>
    </w:p>
    <w:p>
      <w:pPr>
        <w:pStyle w:val="Heading2"/>
      </w:pPr>
      <w:bookmarkStart w:id="64" w:name="resources"/>
      <w:bookmarkEnd w:id="64"/>
      <w:r>
        <w:t xml:space="preserve">Resources</w:t>
      </w:r>
    </w:p>
    <w:p>
      <w:pPr>
        <w:pStyle w:val="FirstParagraph"/>
      </w:pPr>
      <w:r>
        <w:t xml:space="preserve">These resources may be useful for completing this assignment.</w:t>
      </w:r>
    </w:p>
    <w:p>
      <w:pPr>
        <w:pStyle w:val="Compact"/>
        <w:numPr>
          <w:numId w:val="1010"/>
          <w:ilvl w:val="0"/>
        </w:numPr>
      </w:pPr>
      <w:r>
        <w:t xml:space="preserve">Required readings for the Collections topic:</w:t>
      </w:r>
      <w:r>
        <w:t xml:space="preserve"> </w:t>
      </w:r>
      <w:hyperlink r:id="rId65">
        <w:r>
          <w:rPr>
            <w:rStyle w:val="Hyperlink"/>
          </w:rPr>
          <w:t xml:space="preserve">https://www.zotero.org/groups/lis501/items/collectionKey/IND4XSQX</w:t>
        </w:r>
      </w:hyperlink>
    </w:p>
    <w:p>
      <w:pPr>
        <w:pStyle w:val="Compact"/>
        <w:numPr>
          <w:numId w:val="1010"/>
          <w:ilvl w:val="0"/>
        </w:numPr>
      </w:pPr>
      <w:r>
        <w:t xml:space="preserve">Background readings for the Collections topic:</w:t>
      </w:r>
      <w:r>
        <w:t xml:space="preserve"> </w:t>
      </w:r>
      <w:hyperlink r:id="rId66">
        <w:r>
          <w:rPr>
            <w:rStyle w:val="Hyperlink"/>
          </w:rPr>
          <w:t xml:space="preserve">https://www.zotero.org/groups/lis501/items/collectionKey/Z8V7XKUD</w:t>
        </w:r>
      </w:hyperlink>
      <w:r>
        <w:br w:type="textWrapping"/>
      </w:r>
    </w:p>
    <w:p>
      <w:pPr>
        <w:pStyle w:val="Compact"/>
        <w:numPr>
          <w:numId w:val="1010"/>
          <w:ilvl w:val="0"/>
        </w:numPr>
      </w:pPr>
      <w:r>
        <w:t xml:space="preserve">Digital Public Library (DPLA) exhibitions</w:t>
      </w:r>
      <w:r>
        <w:t xml:space="preserve"> </w:t>
      </w:r>
      <w:hyperlink r:id="rId59">
        <w:r>
          <w:rPr>
            <w:rStyle w:val="Hyperlink"/>
          </w:rPr>
          <w:t xml:space="preserve">http://dp.la/exhibitions</w:t>
        </w:r>
      </w:hyperlink>
      <w:r>
        <w:t xml:space="preserve"> </w:t>
      </w:r>
      <w:r>
        <w:t xml:space="preserve">(about:</w:t>
      </w:r>
      <w:r>
        <w:t xml:space="preserve"> </w:t>
      </w:r>
      <w:hyperlink r:id="rId67">
        <w:r>
          <w:rPr>
            <w:rStyle w:val="Hyperlink"/>
          </w:rPr>
          <w:t xml:space="preserve">https://docs.google.com/document/d/1caBYKDdQCpFCildS5XquNML5YzaugSL7Jf3CdBIIqOA/edit</w:t>
        </w:r>
      </w:hyperlink>
      <w:r>
        <w:t xml:space="preserve">)</w:t>
      </w:r>
    </w:p>
    <w:p>
      <w:pPr>
        <w:pStyle w:val="Compact"/>
        <w:numPr>
          <w:numId w:val="1010"/>
          <w:ilvl w:val="0"/>
        </w:numPr>
      </w:pPr>
      <w:r>
        <w:t xml:space="preserve">FLICKR galleries</w:t>
      </w:r>
      <w:r>
        <w:t xml:space="preserve"> </w:t>
      </w:r>
      <w:hyperlink r:id="rId60">
        <w:r>
          <w:rPr>
            <w:rStyle w:val="Hyperlink"/>
          </w:rPr>
          <w:t xml:space="preserve">https://www.flickr.com/photos/flickr/galleries</w:t>
        </w:r>
      </w:hyperlink>
      <w:r>
        <w:t xml:space="preserve"> </w:t>
      </w:r>
      <w:r>
        <w:t xml:space="preserve">(about:</w:t>
      </w:r>
      <w:r>
        <w:t xml:space="preserve"> </w:t>
      </w:r>
      <w:hyperlink r:id="rId68">
        <w:r>
          <w:rPr>
            <w:rStyle w:val="Hyperlink"/>
          </w:rPr>
          <w:t xml:space="preserve">https://www.flickr.com/help/galleries/</w:t>
        </w:r>
      </w:hyperlink>
      <w:r>
        <w:t xml:space="preserve">)</w:t>
      </w:r>
    </w:p>
    <w:p>
      <w:pPr>
        <w:pStyle w:val="Compact"/>
        <w:numPr>
          <w:numId w:val="1010"/>
          <w:ilvl w:val="0"/>
        </w:numPr>
      </w:pPr>
      <w:r>
        <w:t xml:space="preserve">EUROPEANA Pinterest boards</w:t>
      </w:r>
      <w:r>
        <w:t xml:space="preserve"> </w:t>
      </w:r>
      <w:hyperlink r:id="rId61">
        <w:r>
          <w:rPr>
            <w:rStyle w:val="Hyperlink"/>
          </w:rPr>
          <w:t xml:space="preserve">https://www.pinterest.com/europeana/</w:t>
        </w:r>
      </w:hyperlink>
      <w:r>
        <w:t xml:space="preserve"> </w:t>
      </w:r>
      <w:r>
        <w:t xml:space="preserve">(about:</w:t>
      </w:r>
      <w:r>
        <w:t xml:space="preserve"> </w:t>
      </w:r>
      <w:hyperlink r:id="rId69">
        <w:r>
          <w:rPr>
            <w:rStyle w:val="Hyperlink"/>
          </w:rPr>
          <w:t xml:space="preserve">http://blog.europeana.eu/2015/01/explore-our-new-pinterest-boards/</w:t>
        </w:r>
      </w:hyperlink>
      <w:r>
        <w:t xml:space="preserve">)</w:t>
      </w:r>
    </w:p>
    <w:p>
      <w:pPr>
        <w:pStyle w:val="Heading1"/>
      </w:pPr>
      <w:bookmarkStart w:id="70" w:name="topic-schedule"/>
      <w:bookmarkEnd w:id="70"/>
      <w:r>
        <w:t xml:space="preserve">Topic Schedule</w:t>
      </w:r>
    </w:p>
    <w:p>
      <w:pPr>
        <w:pStyle w:val="Heading2"/>
      </w:pPr>
      <w:bookmarkStart w:id="71" w:name="week-1-august-23-lis-education-and-professional-life"/>
      <w:bookmarkEnd w:id="71"/>
      <w:r>
        <w:t xml:space="preserve">Week 1, August 23: LIS Education and professional life</w:t>
      </w:r>
    </w:p>
    <w:p>
      <w:pPr>
        <w:pStyle w:val="Heading3"/>
      </w:pPr>
      <w:bookmarkStart w:id="72" w:name="readings"/>
      <w:bookmarkEnd w:id="72"/>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w:t>
      </w:r>
      <w:r>
        <w:t xml:space="preserve">176, no. 1</w:t>
      </w:r>
      <w:r>
        <w:t xml:space="preserve"> </w:t>
      </w:r>
      <w:r>
        <w:t xml:space="preserve">(1945): 101–8.</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r>
        <w:t xml:space="preserve"> </w:t>
      </w:r>
      <w:r>
        <w:t xml:space="preserve">http://search.ebscohost.com/login.aspx?direct=true&amp;db=a9h&amp;AN=19426604&amp;site=ehost-live.</w:t>
      </w:r>
    </w:p>
    <w:p>
      <w:pPr>
        <w:pStyle w:val="Heading3"/>
      </w:pPr>
      <w:bookmarkStart w:id="73" w:name="background"/>
      <w:bookmarkEnd w:id="73"/>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 “The Man Who Wanted to</w:t>
      </w:r>
      <w:r>
        <w:t xml:space="preserve"> </w:t>
      </w:r>
      <w:r>
        <w:t xml:space="preserve">Classify the World,” 2004.</w:t>
      </w:r>
      <w:r>
        <w:t xml:space="preserve"> </w:t>
      </w:r>
      <w:r>
        <w:t xml:space="preserve">http://www.aspresolver.com/aspresolver.asp?VASC;1641522.</w:t>
      </w:r>
    </w:p>
    <w:p>
      <w:pPr>
        <w:pStyle w:val="BodyText"/>
      </w:pPr>
      <w:r>
        <w:t xml:space="preserve">Wright, Alex.</w:t>
      </w:r>
      <w:r>
        <w:t xml:space="preserve"> </w:t>
      </w:r>
      <w:r>
        <w:rPr>
          <w:i/>
        </w:rPr>
        <w:t xml:space="preserve">Cataloging the World : Paul Otlet and the Birth of the</w:t>
      </w:r>
      <w:r>
        <w:rPr>
          <w:i/>
        </w:rPr>
        <w:t xml:space="preserve"> </w:t>
      </w:r>
      <w:r>
        <w:rPr>
          <w:i/>
        </w:rPr>
        <w:t xml:space="preserve">Information Age</w:t>
      </w:r>
      <w:r>
        <w:t xml:space="preserve">. Oxford: Oxford University Press, 2014.</w:t>
      </w:r>
      <w:r>
        <w:t xml:space="preserve"> </w:t>
      </w:r>
      <w:r>
        <w:t xml:space="preserve">http://vufind.carli.illinois.edu/vf-uiu/Record/uiu_7507894.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74" w:name="week-2-august-30-users-and-information-needs"/>
      <w:bookmarkEnd w:id="74"/>
      <w:r>
        <w:t xml:space="preserve">Week 2, August 30: Users and information needs</w:t>
      </w:r>
    </w:p>
    <w:p>
      <w:pPr>
        <w:pStyle w:val="Heading3"/>
      </w:pPr>
      <w:bookmarkStart w:id="75" w:name="readings-1"/>
      <w:bookmarkEnd w:id="75"/>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76" w:name="background-1"/>
      <w:bookmarkEnd w:id="76"/>
      <w:r>
        <w:t xml:space="preserve">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David Johnson, J.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doi:10.1016/j.ipm.2014.06.001.</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doi:10.1002/asi.21700.</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Marcia J. Bates.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r>
        <w:t xml:space="preserve"> </w:t>
      </w:r>
      <w:r>
        <w:t xml:space="preserve">http://www.tandfonline.com/doi/full/10.1081/E-ELIS3-120043263.</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http://www.jstor.org/stable/25549558.</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r>
        <w:t xml:space="preserve"> </w:t>
      </w:r>
      <w:r>
        <w:t xml:space="preserve">http://www.tandfonline.com/doi/abs/10.1081/E-ELIS3-120043243.</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r>
        <w:t xml:space="preserve"> </w:t>
      </w:r>
      <w:r>
        <w:t xml:space="preserve">doi:10.1177/0165551508091309.</w:t>
      </w:r>
    </w:p>
    <w:p>
      <w:pPr>
        <w:pStyle w:val="Heading2"/>
      </w:pPr>
      <w:bookmarkStart w:id="77" w:name="week-3-september-6-research-methods"/>
      <w:bookmarkEnd w:id="77"/>
      <w:r>
        <w:t xml:space="preserve">Week 3, September 6: Research Methods</w:t>
      </w:r>
    </w:p>
    <w:p>
      <w:pPr>
        <w:pStyle w:val="Heading3"/>
      </w:pPr>
      <w:bookmarkStart w:id="78" w:name="readings-2"/>
      <w:bookmarkEnd w:id="78"/>
      <w:r>
        <w:t xml:space="preserve">Readings</w:t>
      </w:r>
    </w:p>
    <w:p>
      <w:pPr>
        <w:pStyle w:val="FirstParagraph"/>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79" w:name="background-2"/>
      <w:bookmarkEnd w:id="79"/>
      <w:r>
        <w:t xml:space="preserve">Background</w:t>
      </w:r>
    </w:p>
    <w:p>
      <w:pPr>
        <w:pStyle w:val="FirstParagraph"/>
      </w:pPr>
      <w:r>
        <w:t xml:space="preserve">Brett Sutton.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Heading2"/>
      </w:pPr>
      <w:bookmarkStart w:id="80" w:name="week-4-september-13-structures-and-standards"/>
      <w:bookmarkEnd w:id="80"/>
      <w:r>
        <w:t xml:space="preserve">Week 4, September 13: Structures and Standards</w:t>
      </w:r>
    </w:p>
    <w:p>
      <w:pPr>
        <w:pStyle w:val="Heading3"/>
      </w:pPr>
      <w:bookmarkStart w:id="81" w:name="readings-3"/>
      <w:bookmarkEnd w:id="81"/>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82" w:name="background-3"/>
      <w:bookmarkEnd w:id="82"/>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83" w:name="week-5-september-20-approaches-to-organizing-information"/>
      <w:bookmarkEnd w:id="83"/>
      <w:r>
        <w:t xml:space="preserve">Week 5, September 20: Approaches to organizing information</w:t>
      </w:r>
    </w:p>
    <w:p>
      <w:pPr>
        <w:pStyle w:val="Heading3"/>
      </w:pPr>
      <w:bookmarkStart w:id="84" w:name="readings-4"/>
      <w:bookmarkEnd w:id="84"/>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 locate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Sicientific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85" w:name="background-4"/>
      <w:bookmarkEnd w:id="85"/>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86" w:name="week-6-september-27-collections"/>
      <w:bookmarkEnd w:id="86"/>
      <w:r>
        <w:t xml:space="preserve">Week 6, September 27: Collections</w:t>
      </w:r>
    </w:p>
    <w:p>
      <w:pPr>
        <w:pStyle w:val="Heading3"/>
      </w:pPr>
      <w:bookmarkStart w:id="87" w:name="readings-5"/>
      <w:bookmarkEnd w:id="87"/>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88" w:name="background-5"/>
      <w:bookmarkEnd w:id="88"/>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89" w:name="week-7-october-4-preservation"/>
      <w:bookmarkEnd w:id="89"/>
      <w:r>
        <w:t xml:space="preserve">Week 7, October 4: Preservation</w:t>
      </w:r>
    </w:p>
    <w:p>
      <w:pPr>
        <w:pStyle w:val="Heading3"/>
      </w:pPr>
      <w:bookmarkStart w:id="90" w:name="readings-6"/>
      <w:bookmarkEnd w:id="90"/>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91" w:name="background-6"/>
      <w:bookmarkEnd w:id="91"/>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92" w:name="week-8-october-11-search-and-discovery"/>
      <w:bookmarkEnd w:id="92"/>
      <w:r>
        <w:t xml:space="preserve">Week 8, October 11: Search and discovery</w:t>
      </w:r>
    </w:p>
    <w:p>
      <w:pPr>
        <w:pStyle w:val="Heading3"/>
      </w:pPr>
      <w:bookmarkStart w:id="93" w:name="readings-7"/>
      <w:bookmarkEnd w:id="93"/>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94" w:name="background-7"/>
      <w:bookmarkEnd w:id="94"/>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95" w:name="week-9-october-18-evaluation-of-systems-and-services"/>
      <w:bookmarkEnd w:id="95"/>
      <w:r>
        <w:t xml:space="preserve">Week 9, October 18: Evaluation of systems and services</w:t>
      </w:r>
    </w:p>
    <w:p>
      <w:pPr>
        <w:pStyle w:val="Heading3"/>
      </w:pPr>
      <w:bookmarkStart w:id="96" w:name="readings-8"/>
      <w:bookmarkEnd w:id="96"/>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97" w:name="week-10-october-25-subject-analysis-and-subject-languages"/>
      <w:bookmarkEnd w:id="97"/>
      <w:r>
        <w:t xml:space="preserve">Week 10, October 25: Subject analysis and subject languages</w:t>
      </w:r>
    </w:p>
    <w:p>
      <w:pPr>
        <w:pStyle w:val="Heading3"/>
      </w:pPr>
      <w:bookmarkStart w:id="98" w:name="readings-9"/>
      <w:bookmarkEnd w:id="98"/>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99" w:name="background-8"/>
      <w:bookmarkEnd w:id="99"/>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675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3910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8274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69" Target="http://blog.europeana.eu/2015/01/explore-our-new-pinterest-boards/" TargetMode="External" /><Relationship Type="http://schemas.openxmlformats.org/officeDocument/2006/relationships/hyperlink" Id="rId59" Target="http://dp.la/exhibitions"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67" Target="https://docs.google.com/document/d/1caBYKDdQCpFCildS5XquNML5YzaugSL7Jf3CdBIIqOA/edit" TargetMode="External" /><Relationship Type="http://schemas.openxmlformats.org/officeDocument/2006/relationships/hyperlink" Id="rId25" Target="https://reserves.library.illinois.edu/ares/" TargetMode="External" /><Relationship Type="http://schemas.openxmlformats.org/officeDocument/2006/relationships/hyperlink" Id="rId68" Target="https://www.flickr.com/help/galleries/" TargetMode="External" /><Relationship Type="http://schemas.openxmlformats.org/officeDocument/2006/relationships/hyperlink" Id="rId60" Target="https://www.flickr.com/photos/flickr/galleries" TargetMode="External" /><Relationship Type="http://schemas.openxmlformats.org/officeDocument/2006/relationships/hyperlink" Id="rId61" Target="https://www.pinterest.com/europeana/" TargetMode="External" /><Relationship Type="http://schemas.openxmlformats.org/officeDocument/2006/relationships/hyperlink" Id="rId65" Target="https://www.zotero.org/groups/lis501/items/collectionKey/IND4XSQX" TargetMode="External" /><Relationship Type="http://schemas.openxmlformats.org/officeDocument/2006/relationships/hyperlink" Id="rId66"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69" Target="http://blog.europeana.eu/2015/01/explore-our-new-pinterest-boards/" TargetMode="External" /><Relationship Type="http://schemas.openxmlformats.org/officeDocument/2006/relationships/hyperlink" Id="rId59" Target="http://dp.la/exhibitions"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67" Target="https://docs.google.com/document/d/1caBYKDdQCpFCildS5XquNML5YzaugSL7Jf3CdBIIqOA/edit" TargetMode="External" /><Relationship Type="http://schemas.openxmlformats.org/officeDocument/2006/relationships/hyperlink" Id="rId25" Target="https://reserves.library.illinois.edu/ares/" TargetMode="External" /><Relationship Type="http://schemas.openxmlformats.org/officeDocument/2006/relationships/hyperlink" Id="rId68" Target="https://www.flickr.com/help/galleries/" TargetMode="External" /><Relationship Type="http://schemas.openxmlformats.org/officeDocument/2006/relationships/hyperlink" Id="rId60" Target="https://www.flickr.com/photos/flickr/galleries" TargetMode="External" /><Relationship Type="http://schemas.openxmlformats.org/officeDocument/2006/relationships/hyperlink" Id="rId61" Target="https://www.pinterest.com/europeana/" TargetMode="External" /><Relationship Type="http://schemas.openxmlformats.org/officeDocument/2006/relationships/hyperlink" Id="rId65" Target="https://www.zotero.org/groups/lis501/items/collectionKey/IND4XSQX" TargetMode="External" /><Relationship Type="http://schemas.openxmlformats.org/officeDocument/2006/relationships/hyperlink" Id="rId66"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