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17:09:43</w:t>
      </w:r>
      <w:r>
        <w:t xml:space="preserve"> </w:t>
      </w:r>
      <w:r>
        <w:t xml:space="preserve">CDT</w:t>
      </w:r>
      <w:r>
        <w:t xml:space="preserve"> </w:t>
      </w:r>
      <w:r>
        <w:t xml:space="preserve">2016</w:t>
      </w:r>
    </w:p>
    <w:p>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Writers Workshop provides free consultations. For more information see</w:t>
      </w:r>
      <w:r>
        <w:t xml:space="preserve"> </w:t>
      </w:r>
      <w:hyperlink r:id="rId35">
        <w:r>
          <w:rPr>
            <w:rStyle w:val="Link"/>
          </w:rPr>
          <w:t xml:space="preserve">http://www.cws.illinois.edu/workshop/</w:t>
        </w:r>
      </w:hyperlink>
    </w:p>
    <w:bookmarkStart w:id="36" w:name="academic-integrity"/>
    <w:p>
      <w:pPr>
        <w:pStyle w:val="Heading1"/>
      </w:pPr>
      <w:r>
        <w:t xml:space="preserve">Academic Integrity</w:t>
      </w:r>
    </w:p>
    <w:bookmarkEnd w:id="36"/>
    <w:p>
      <w:r>
        <w:t xml:space="preserve">Please review and reflect on the academic integrity policy of the University of Illinois,</w:t>
      </w:r>
      <w:r>
        <w:t xml:space="preserve"> </w:t>
      </w:r>
      <w:hyperlink r:id="rId37">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8" w:name="statement-of-inclusion"/>
    <w:p>
      <w:pPr>
        <w:pStyle w:val="Heading1"/>
      </w:pPr>
      <w:r>
        <w:t xml:space="preserve">Statement of Inclusion</w:t>
      </w:r>
    </w:p>
    <w:bookmarkEnd w:id="38"/>
    <w:p>
      <w:hyperlink r:id="rId39">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0" w:name="accessibility-statement"/>
    <w:p>
      <w:pPr>
        <w:pStyle w:val="Heading1"/>
      </w:pPr>
      <w:r>
        <w:t xml:space="preserve">Accessibility Statement</w:t>
      </w:r>
    </w:p>
    <w:bookmarkEnd w:id="40"/>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1" w:name="assignments-and-evaluation"/>
    <w:p>
      <w:pPr>
        <w:pStyle w:val="Heading1"/>
      </w:pPr>
      <w:r>
        <w:t xml:space="preserve">Assignments and Evaluation</w:t>
      </w:r>
    </w:p>
    <w:bookmarkEnd w:id="41"/>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2 (20%).</w:t>
      </w:r>
    </w:p>
    <w:p>
      <w:pPr>
        <w:pStyle w:val="Compact"/>
        <w:numPr>
          <w:numId w:val="4"/>
          <w:ilvl w:val="0"/>
        </w:numPr>
      </w:pPr>
      <w:r>
        <w:t xml:space="preserve">Assignment 2: Digital Collections Assessment. Due September 30 (20%).</w:t>
      </w:r>
    </w:p>
    <w:p>
      <w:pPr>
        <w:pStyle w:val="Compact"/>
        <w:numPr>
          <w:numId w:val="4"/>
          <w:ilvl w:val="0"/>
        </w:numPr>
      </w:pPr>
      <w:r>
        <w:t xml:space="preserve">Assignment 3: Final Project. Due October 28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26)</w:t>
      </w:r>
    </w:p>
    <w:p>
      <w:pPr>
        <w:pStyle w:val="Compact"/>
        <w:numPr>
          <w:numId w:val="5"/>
          <w:ilvl w:val="0"/>
        </w:numPr>
      </w:pPr>
      <w:r>
        <w:t xml:space="preserve">ITD on computing resources (September 2)</w:t>
      </w:r>
    </w:p>
    <w:p>
      <w:pPr>
        <w:pStyle w:val="Compact"/>
        <w:numPr>
          <w:numId w:val="5"/>
          <w:ilvl w:val="0"/>
        </w:numPr>
      </w:pPr>
      <w:r>
        <w:t xml:space="preserve">Research methods exercise (September 9)</w:t>
      </w:r>
    </w:p>
    <w:p>
      <w:pPr>
        <w:pStyle w:val="Compact"/>
        <w:numPr>
          <w:numId w:val="5"/>
          <w:ilvl w:val="0"/>
        </w:numPr>
      </w:pPr>
      <w:r>
        <w:t xml:space="preserve">Pandoc encoding and transformation (September 16)</w:t>
      </w:r>
    </w:p>
    <w:p>
      <w:pPr>
        <w:pStyle w:val="Compact"/>
        <w:numPr>
          <w:numId w:val="5"/>
          <w:ilvl w:val="0"/>
        </w:numPr>
      </w:pPr>
      <w:r>
        <w:t xml:space="preserve">Cultural heritage object description (September 23)</w:t>
      </w:r>
    </w:p>
    <w:p>
      <w:pPr>
        <w:pStyle w:val="Compact"/>
        <w:numPr>
          <w:numId w:val="5"/>
          <w:ilvl w:val="0"/>
        </w:numPr>
      </w:pPr>
      <w:r>
        <w:t xml:space="preserve">Zotero bibliography and formatting (September 30)</w:t>
      </w:r>
    </w:p>
    <w:p>
      <w:pPr>
        <w:pStyle w:val="Compact"/>
        <w:numPr>
          <w:numId w:val="5"/>
          <w:ilvl w:val="0"/>
        </w:numPr>
      </w:pPr>
      <w:r>
        <w:t xml:space="preserve">Generating Resource Description Framework (RDF) output from Zotero: Bibliographic Ontology (bibo) and Dublin Core (dc) (October 7)</w:t>
      </w:r>
    </w:p>
    <w:p>
      <w:pPr>
        <w:pStyle w:val="Compact"/>
        <w:numPr>
          <w:numId w:val="5"/>
          <w:ilvl w:val="0"/>
        </w:numPr>
      </w:pPr>
      <w:r>
        <w:t xml:space="preserve">Collection stewardship exercise (October 14)</w:t>
      </w:r>
    </w:p>
    <w:p>
      <w:pPr>
        <w:pStyle w:val="Compact"/>
        <w:numPr>
          <w:numId w:val="5"/>
          <w:ilvl w:val="0"/>
        </w:numPr>
      </w:pPr>
      <w:r>
        <w:t xml:space="preserve">In-class time to work on your research design proposal (October 21)</w:t>
      </w:r>
    </w:p>
    <w:p>
      <w:pPr>
        <w:pStyle w:val="Compact"/>
        <w:numPr>
          <w:numId w:val="5"/>
          <w:ilvl w:val="0"/>
        </w:numPr>
      </w:pPr>
      <w:r>
        <w:t xml:space="preserve">Presentations of research design proposals (October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2" w:name="topic-schedule"/>
    <w:p>
      <w:pPr>
        <w:pStyle w:val="Heading1"/>
      </w:pPr>
      <w:r>
        <w:t xml:space="preserve">Topic Schedule</w:t>
      </w:r>
    </w:p>
    <w:bookmarkEnd w:id="42"/>
    <w:bookmarkStart w:id="43" w:name="general-background-resources-for-the-semester"/>
    <w:p>
      <w:pPr>
        <w:pStyle w:val="Heading2"/>
      </w:pPr>
      <w:r>
        <w:t xml:space="preserve">General Background Resources for the Semester</w:t>
      </w:r>
    </w:p>
    <w:bookmarkEnd w:id="43"/>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4" w:name="week-1-august-23-lis-education-and-professional-life"/>
    <w:p>
      <w:pPr>
        <w:pStyle w:val="Heading2"/>
      </w:pPr>
      <w:r>
        <w:t xml:space="preserve">Week 1, August 23: LIS Education and professional life</w:t>
      </w:r>
    </w:p>
    <w:bookmarkEnd w:id="44"/>
    <w:bookmarkStart w:id="45" w:name="required-readings"/>
    <w:p>
      <w:pPr>
        <w:pStyle w:val="Heading3"/>
      </w:pPr>
      <w:r>
        <w:t xml:space="preserve">Required Readings</w:t>
      </w:r>
    </w:p>
    <w:bookmarkEnd w:id="45"/>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6" w:name="further-background"/>
    <w:p>
      <w:pPr>
        <w:pStyle w:val="Heading3"/>
      </w:pPr>
      <w:r>
        <w:t xml:space="preserve">Further Background</w:t>
      </w:r>
    </w:p>
    <w:bookmarkEnd w:id="46"/>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7" w:name="week-2-august-30-users-and-information-needs"/>
    <w:p>
      <w:pPr>
        <w:pStyle w:val="Heading2"/>
      </w:pPr>
      <w:r>
        <w:t xml:space="preserve">Week 2, August 30: Users and information needs</w:t>
      </w:r>
    </w:p>
    <w:bookmarkEnd w:id="47"/>
    <w:bookmarkStart w:id="48" w:name="required-readings-1"/>
    <w:p>
      <w:pPr>
        <w:pStyle w:val="Heading3"/>
      </w:pPr>
      <w:r>
        <w:t xml:space="preserve">Required Readings</w:t>
      </w:r>
    </w:p>
    <w:bookmarkEnd w:id="48"/>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49" w:name="further-background-1"/>
    <w:p>
      <w:pPr>
        <w:pStyle w:val="Heading3"/>
      </w:pPr>
      <w:r>
        <w:t xml:space="preserve">Further Background</w:t>
      </w:r>
    </w:p>
    <w:bookmarkEnd w:id="49"/>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0" w:name="week-3-september-6-research-methods"/>
    <w:p>
      <w:pPr>
        <w:pStyle w:val="Heading2"/>
      </w:pPr>
      <w:r>
        <w:t xml:space="preserve">Week 3, September 6: Research Methods</w:t>
      </w:r>
    </w:p>
    <w:bookmarkEnd w:id="50"/>
    <w:bookmarkStart w:id="51" w:name="required-readings-2"/>
    <w:p>
      <w:pPr>
        <w:pStyle w:val="Heading3"/>
      </w:pPr>
      <w:r>
        <w:t xml:space="preserve">Required Readings</w:t>
      </w:r>
    </w:p>
    <w:bookmarkEnd w:id="51"/>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2" w:name="further-background-2"/>
    <w:p>
      <w:pPr>
        <w:pStyle w:val="Heading3"/>
      </w:pPr>
      <w:r>
        <w:t xml:space="preserve">Further Background</w:t>
      </w:r>
    </w:p>
    <w:bookmarkEnd w:id="52"/>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3" w:name="week-4-september-13-structures-and-standards"/>
    <w:p>
      <w:pPr>
        <w:pStyle w:val="Heading2"/>
      </w:pPr>
      <w:r>
        <w:t xml:space="preserve">Week 4, September 13: Structures and Standards</w:t>
      </w:r>
    </w:p>
    <w:bookmarkEnd w:id="53"/>
    <w:bookmarkStart w:id="54" w:name="required-readings-3"/>
    <w:p>
      <w:pPr>
        <w:pStyle w:val="Heading3"/>
      </w:pPr>
      <w:r>
        <w:t xml:space="preserve">Required Readings</w:t>
      </w:r>
    </w:p>
    <w:bookmarkEnd w:id="54"/>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5" w:name="further-background-3"/>
    <w:p>
      <w:pPr>
        <w:pStyle w:val="Heading3"/>
      </w:pPr>
      <w:r>
        <w:t xml:space="preserve">Further Background</w:t>
      </w:r>
    </w:p>
    <w:bookmarkEnd w:id="55"/>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6" w:name="week-5-september-20-approaches-to-organizing-information"/>
    <w:p>
      <w:pPr>
        <w:pStyle w:val="Heading2"/>
      </w:pPr>
      <w:r>
        <w:t xml:space="preserve">Week 5, September 20: Approaches to organizing information</w:t>
      </w:r>
    </w:p>
    <w:bookmarkEnd w:id="56"/>
    <w:bookmarkStart w:id="57" w:name="required-readings-4"/>
    <w:p>
      <w:pPr>
        <w:pStyle w:val="Heading3"/>
      </w:pPr>
      <w:r>
        <w:t xml:space="preserve">Required Readings</w:t>
      </w:r>
    </w:p>
    <w:bookmarkEnd w:id="57"/>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8" w:name="further-background-4"/>
    <w:p>
      <w:pPr>
        <w:pStyle w:val="Heading3"/>
      </w:pPr>
      <w:r>
        <w:t xml:space="preserve">Further Background</w:t>
      </w:r>
    </w:p>
    <w:bookmarkEnd w:id="58"/>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59" w:name="week-6-september-27-collections"/>
    <w:p>
      <w:pPr>
        <w:pStyle w:val="Heading2"/>
      </w:pPr>
      <w:r>
        <w:t xml:space="preserve">Week 6, September 27: Collections</w:t>
      </w:r>
    </w:p>
    <w:bookmarkEnd w:id="59"/>
    <w:bookmarkStart w:id="60" w:name="required-readings-5"/>
    <w:p>
      <w:pPr>
        <w:pStyle w:val="Heading3"/>
      </w:pPr>
      <w:r>
        <w:t xml:space="preserve">Required Readings</w:t>
      </w:r>
    </w:p>
    <w:bookmarkEnd w:id="60"/>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61" w:name="further-background-5"/>
    <w:p>
      <w:pPr>
        <w:pStyle w:val="Heading3"/>
      </w:pPr>
      <w:r>
        <w:t xml:space="preserve">Further Background</w:t>
      </w:r>
    </w:p>
    <w:bookmarkEnd w:id="61"/>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2" w:name="week-7-october-4-preservation"/>
    <w:p>
      <w:pPr>
        <w:pStyle w:val="Heading2"/>
      </w:pPr>
      <w:r>
        <w:t xml:space="preserve">Week 7, October 4: Preservation</w:t>
      </w:r>
    </w:p>
    <w:bookmarkEnd w:id="62"/>
    <w:bookmarkStart w:id="63" w:name="required-readings-6"/>
    <w:p>
      <w:pPr>
        <w:pStyle w:val="Heading3"/>
      </w:pPr>
      <w:r>
        <w:t xml:space="preserve">Required Readings</w:t>
      </w:r>
    </w:p>
    <w:bookmarkEnd w:id="63"/>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4" w:name="further-background-6"/>
    <w:p>
      <w:pPr>
        <w:pStyle w:val="Heading3"/>
      </w:pPr>
      <w:r>
        <w:t xml:space="preserve">Further Background</w:t>
      </w:r>
    </w:p>
    <w:bookmarkEnd w:id="64"/>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5" w:name="week-8-october-11-search-and-discovery"/>
    <w:p>
      <w:pPr>
        <w:pStyle w:val="Heading2"/>
      </w:pPr>
      <w:r>
        <w:t xml:space="preserve">Week 8, October 11: Search and discovery</w:t>
      </w:r>
    </w:p>
    <w:bookmarkEnd w:id="65"/>
    <w:bookmarkStart w:id="66" w:name="required-readings-7"/>
    <w:p>
      <w:pPr>
        <w:pStyle w:val="Heading3"/>
      </w:pPr>
      <w:r>
        <w:t xml:space="preserve">Required Readings</w:t>
      </w:r>
    </w:p>
    <w:bookmarkEnd w:id="66"/>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7" w:name="further-background-7"/>
    <w:p>
      <w:pPr>
        <w:pStyle w:val="Heading3"/>
      </w:pPr>
      <w:r>
        <w:t xml:space="preserve">Further Background</w:t>
      </w:r>
    </w:p>
    <w:bookmarkEnd w:id="67"/>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8" w:name="week-9-october-18-evaluation-of-systems-and-services"/>
    <w:p>
      <w:pPr>
        <w:pStyle w:val="Heading2"/>
      </w:pPr>
      <w:r>
        <w:t xml:space="preserve">Week 9, October 18: Evaluation of systems and services</w:t>
      </w:r>
    </w:p>
    <w:bookmarkEnd w:id="68"/>
    <w:bookmarkStart w:id="69" w:name="required-readings-8"/>
    <w:p>
      <w:pPr>
        <w:pStyle w:val="Heading3"/>
      </w:pPr>
      <w:r>
        <w:t xml:space="preserve">Required Readings</w:t>
      </w:r>
    </w:p>
    <w:bookmarkEnd w:id="69"/>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0" w:name="further-background-8"/>
    <w:p>
      <w:pPr>
        <w:pStyle w:val="Heading3"/>
      </w:pPr>
      <w:r>
        <w:t xml:space="preserve">Further Background</w:t>
      </w:r>
    </w:p>
    <w:bookmarkEnd w:id="70"/>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1" w:name="week-10-october-25-subject-analysis-and-subject-languages"/>
    <w:p>
      <w:pPr>
        <w:pStyle w:val="Heading2"/>
      </w:pPr>
      <w:r>
        <w:t xml:space="preserve">Week 10, October 25: Subject analysis and subject languages</w:t>
      </w:r>
    </w:p>
    <w:bookmarkEnd w:id="71"/>
    <w:bookmarkStart w:id="72" w:name="required-readings-9"/>
    <w:p>
      <w:pPr>
        <w:pStyle w:val="Heading3"/>
      </w:pPr>
      <w:r>
        <w:t xml:space="preserve">Required Readings</w:t>
      </w:r>
    </w:p>
    <w:bookmarkEnd w:id="72"/>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3" w:name="further-background-9"/>
    <w:p>
      <w:pPr>
        <w:pStyle w:val="Heading3"/>
      </w:pPr>
      <w:r>
        <w:t xml:space="preserve">Further Background</w:t>
      </w:r>
    </w:p>
    <w:bookmarkEnd w:id="73"/>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4" w:name="Asgt1"/>
    <w:p>
      <w:pPr>
        <w:pStyle w:val="Heading1"/>
      </w:pPr>
      <w:r>
        <w:t xml:space="preserve">Assignment 1 Information Needs/Information Seeking Behavior</w:t>
      </w:r>
    </w:p>
    <w:bookmarkEnd w:id="74"/>
    <w:p>
      <w:r>
        <w:t xml:space="preserve">Due September 2 (20 points).</w:t>
      </w:r>
    </w:p>
    <w:bookmarkStart w:id="75" w:name="rationale"/>
    <w:p>
      <w:pPr>
        <w:pStyle w:val="Heading2"/>
      </w:pPr>
      <w:r>
        <w:t xml:space="preserve">Rationale</w:t>
      </w:r>
    </w:p>
    <w:bookmarkEnd w:id="75"/>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6">
        <w:r>
          <w:rPr>
            <w:rStyle w:val="Link"/>
          </w:rPr>
          <w:t xml:space="preserve">http://InformationR.net/rm/</w:t>
        </w:r>
      </w:hyperlink>
    </w:p>
    <w:bookmarkStart w:id="77" w:name="tasks"/>
    <w:p>
      <w:pPr>
        <w:pStyle w:val="Heading2"/>
      </w:pPr>
      <w:r>
        <w:t xml:space="preserve">Tasks</w:t>
      </w:r>
    </w:p>
    <w:bookmarkEnd w:id="77"/>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8" w:name="deliverable"/>
    <w:p>
      <w:pPr>
        <w:pStyle w:val="Heading2"/>
      </w:pPr>
      <w:r>
        <w:t xml:space="preserve">Deliverable</w:t>
      </w:r>
    </w:p>
    <w:bookmarkEnd w:id="78"/>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79" w:name="submitting"/>
    <w:p>
      <w:pPr>
        <w:pStyle w:val="Heading2"/>
      </w:pPr>
      <w:r>
        <w:t xml:space="preserve">Submitting</w:t>
      </w:r>
    </w:p>
    <w:bookmarkEnd w:id="79"/>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0" w:name="strategies-for-locating-research-studies"/>
    <w:p>
      <w:pPr>
        <w:pStyle w:val="Heading2"/>
      </w:pPr>
      <w:r>
        <w:t xml:space="preserve">Strategies for locating research studies</w:t>
      </w:r>
    </w:p>
    <w:bookmarkEnd w:id="80"/>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1">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1">
        <w:r>
          <w:rPr>
            <w:rStyle w:val="Link"/>
          </w:rPr>
          <w:t xml:space="preserve">http://openurl.library.uiuc.edu/sfxlcl3/az</w:t>
        </w:r>
      </w:hyperlink>
    </w:p>
    <w:p>
      <w:pPr>
        <w:pStyle w:val="Compact"/>
        <w:numPr>
          <w:numId w:val="9"/>
          <w:ilvl w:val="0"/>
        </w:numPr>
      </w:pPr>
      <w:hyperlink r:id="rId82">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1">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3">
        <w:r>
          <w:rPr>
            <w:rStyle w:val="Link"/>
          </w:rPr>
          <w:t xml:space="preserve">http://uiuc.libguides.com/content.php?pid=28713&amp;sid=209698</w:t>
        </w:r>
      </w:hyperlink>
    </w:p>
    <w:p>
      <w:pPr>
        <w:pStyle w:val="Compact"/>
        <w:numPr>
          <w:numId w:val="10"/>
          <w:ilvl w:val="0"/>
        </w:numPr>
      </w:pPr>
      <w:hyperlink r:id="rId84">
        <w:r>
          <w:rPr>
            <w:rStyle w:val="Link"/>
          </w:rPr>
          <w:t xml:space="preserve">http://uiuc.libguides.com/content.php?pid=28713&amp;sid=214766</w:t>
        </w:r>
      </w:hyperlink>
    </w:p>
    <w:p>
      <w:pPr>
        <w:pStyle w:val="Compact"/>
        <w:numPr>
          <w:numId w:val="10"/>
          <w:ilvl w:val="0"/>
        </w:numPr>
      </w:pPr>
      <w:hyperlink r:id="rId84">
        <w:r>
          <w:rPr>
            <w:rStyle w:val="Link"/>
          </w:rPr>
          <w:t xml:space="preserve">http://uiuc.libguides.com/content.php?pid=28713&amp;sid=214766</w:t>
        </w:r>
      </w:hyperlink>
    </w:p>
    <w:bookmarkStart w:id="85" w:name="Asgt2"/>
    <w:p>
      <w:pPr>
        <w:pStyle w:val="Heading1"/>
      </w:pPr>
      <w:r>
        <w:t xml:space="preserve">Assignment 2 Digital Collections Assessment</w:t>
      </w:r>
    </w:p>
    <w:bookmarkEnd w:id="85"/>
    <w:p>
      <w:r>
        <w:t xml:space="preserve">Due September 30 (20 points).</w:t>
      </w:r>
    </w:p>
    <w:bookmarkStart w:id="86" w:name="summary"/>
    <w:p>
      <w:pPr>
        <w:pStyle w:val="Heading2"/>
      </w:pPr>
      <w:r>
        <w:t xml:space="preserve">Summary</w:t>
      </w:r>
    </w:p>
    <w:bookmarkEnd w:id="86"/>
    <w:p>
      <w:r>
        <w:t xml:space="preserve">Pick one DPLA exhibition, or one Flickr gallery or one Europeana pinterest board as an exemplar for your analysis. write a narrative assessment of the content, organization, and potential users and uses.</w:t>
      </w:r>
    </w:p>
    <w:bookmarkStart w:id="87" w:name="before-you-begin"/>
    <w:p>
      <w:pPr>
        <w:pStyle w:val="Heading2"/>
      </w:pPr>
      <w:r>
        <w:t xml:space="preserve">Before you begin</w:t>
      </w:r>
    </w:p>
    <w:bookmarkEnd w:id="87"/>
    <w:p>
      <w:r>
        <w:t xml:space="preserve">Read the required assigned readings for our collections topic before starting this assignment. The background readings will also make your task easier.</w:t>
      </w:r>
    </w:p>
    <w:bookmarkStart w:id="88" w:name="rationale-1"/>
    <w:p>
      <w:pPr>
        <w:pStyle w:val="Heading2"/>
      </w:pPr>
      <w:r>
        <w:t xml:space="preserve">Rationale</w:t>
      </w:r>
    </w:p>
    <w:bookmarkEnd w:id="88"/>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89" w:name="tasks-1"/>
    <w:p>
      <w:pPr>
        <w:pStyle w:val="Heading2"/>
      </w:pPr>
      <w:r>
        <w:t xml:space="preserve">Tasks</w:t>
      </w:r>
    </w:p>
    <w:bookmarkEnd w:id="89"/>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0">
        <w:r>
          <w:rPr>
            <w:rStyle w:val="Link"/>
          </w:rPr>
          <w:t xml:space="preserve">DPLA exhibitions</w:t>
        </w:r>
      </w:hyperlink>
      <w:r>
        <w:t xml:space="preserve"> </w:t>
      </w:r>
      <w:r>
        <w:t xml:space="preserve">(28 exhibitions)</w:t>
      </w:r>
    </w:p>
    <w:p>
      <w:pPr>
        <w:pStyle w:val="Compact"/>
        <w:numPr>
          <w:numId w:val="12"/>
          <w:ilvl w:val="1"/>
        </w:numPr>
      </w:pPr>
      <w:hyperlink r:id="rId91">
        <w:r>
          <w:rPr>
            <w:rStyle w:val="Link"/>
          </w:rPr>
          <w:t xml:space="preserve">Flickr galleries</w:t>
        </w:r>
      </w:hyperlink>
      <w:r>
        <w:t xml:space="preserve"> </w:t>
      </w:r>
      <w:r>
        <w:t xml:space="preserve">(there are 322)</w:t>
      </w:r>
    </w:p>
    <w:p>
      <w:pPr>
        <w:pStyle w:val="Compact"/>
        <w:numPr>
          <w:numId w:val="12"/>
          <w:ilvl w:val="1"/>
        </w:numPr>
      </w:pPr>
      <w:hyperlink r:id="rId92">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3" w:name="deliverables"/>
    <w:p>
      <w:pPr>
        <w:pStyle w:val="Heading2"/>
      </w:pPr>
      <w:r>
        <w:t xml:space="preserve">Deliverables</w:t>
      </w:r>
    </w:p>
    <w:bookmarkEnd w:id="93"/>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4" w:name="submitting-1"/>
    <w:p>
      <w:pPr>
        <w:pStyle w:val="Heading2"/>
      </w:pPr>
      <w:r>
        <w:t xml:space="preserve">Submitting</w:t>
      </w:r>
    </w:p>
    <w:bookmarkEnd w:id="94"/>
    <w:p>
      <w:r>
        <w:t xml:space="preserve">Upload the essay to the Moodle section designated for this assignment.</w:t>
      </w:r>
    </w:p>
    <w:bookmarkStart w:id="95" w:name="resources"/>
    <w:p>
      <w:pPr>
        <w:pStyle w:val="Heading2"/>
      </w:pPr>
      <w:r>
        <w:t xml:space="preserve">Resources</w:t>
      </w:r>
    </w:p>
    <w:bookmarkEnd w:id="95"/>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6">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7">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0">
        <w:r>
          <w:rPr>
            <w:rStyle w:val="Link"/>
          </w:rPr>
          <w:t xml:space="preserve">http://dp.la/exhibitions</w:t>
        </w:r>
      </w:hyperlink>
    </w:p>
    <w:p>
      <w:pPr>
        <w:pStyle w:val="Compact"/>
        <w:numPr>
          <w:numId w:val="17"/>
          <w:ilvl w:val="1"/>
        </w:numPr>
      </w:pPr>
      <w:hyperlink r:id="rId98">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1">
        <w:r>
          <w:rPr>
            <w:rStyle w:val="Link"/>
          </w:rPr>
          <w:t xml:space="preserve">https://www.flickr.com/photos/flickr/galleries</w:t>
        </w:r>
      </w:hyperlink>
    </w:p>
    <w:p>
      <w:pPr>
        <w:pStyle w:val="Compact"/>
        <w:numPr>
          <w:numId w:val="18"/>
          <w:ilvl w:val="1"/>
        </w:numPr>
      </w:pPr>
      <w:hyperlink r:id="rId99">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2">
        <w:r>
          <w:rPr>
            <w:rStyle w:val="Link"/>
          </w:rPr>
          <w:t xml:space="preserve">https://www.pinterest.com/europeana/</w:t>
        </w:r>
      </w:hyperlink>
    </w:p>
    <w:p>
      <w:pPr>
        <w:pStyle w:val="Compact"/>
        <w:numPr>
          <w:numId w:val="19"/>
          <w:ilvl w:val="1"/>
        </w:numPr>
      </w:pPr>
      <w:hyperlink r:id="rId100">
        <w:r>
          <w:rPr>
            <w:rStyle w:val="Link"/>
          </w:rPr>
          <w:t xml:space="preserve">http://blog.europeana.eu/2015/01/explore-our-new-pinterest-boards/</w:t>
        </w:r>
      </w:hyperlink>
    </w:p>
    <w:bookmarkStart w:id="101" w:name="Asgt3"/>
    <w:p>
      <w:pPr>
        <w:pStyle w:val="Heading1"/>
      </w:pPr>
      <w:r>
        <w:t xml:space="preserve">Assignment 3: Research Design Proposal</w:t>
      </w:r>
    </w:p>
    <w:bookmarkEnd w:id="101"/>
    <w:p>
      <w:r>
        <w:t xml:space="preserve">Materials due September 9, September 23, October 7, and October 28 (40 points).</w:t>
      </w:r>
    </w:p>
    <w:bookmarkStart w:id="102" w:name="rationale-2"/>
    <w:p>
      <w:pPr>
        <w:pStyle w:val="Heading2"/>
      </w:pPr>
      <w:r>
        <w:t xml:space="preserve">Rationale</w:t>
      </w:r>
    </w:p>
    <w:bookmarkEnd w:id="102"/>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3" w:name="before-you-begin-1"/>
    <w:p>
      <w:pPr>
        <w:pStyle w:val="Heading2"/>
      </w:pPr>
      <w:r>
        <w:t xml:space="preserve">Before you begin</w:t>
      </w:r>
    </w:p>
    <w:bookmarkEnd w:id="103"/>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30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4">
        <w:r>
          <w:rPr>
            <w:rStyle w:val="Link"/>
          </w:rPr>
          <w:t xml:space="preserve">https://owl.english.purdue.edu/owl/resource/614/01/</w:t>
        </w:r>
      </w:hyperlink>
      <w:r>
        <w:t xml:space="preserve"> </w:t>
      </w:r>
      <w:r>
        <w:t xml:space="preserve">.</w:t>
      </w:r>
    </w:p>
    <w:bookmarkStart w:id="105" w:name="milestone-deliverables"/>
    <w:p>
      <w:pPr>
        <w:pStyle w:val="Heading2"/>
      </w:pPr>
      <w:r>
        <w:t xml:space="preserve">Milestone Deliverables</w:t>
      </w:r>
    </w:p>
    <w:bookmarkEnd w:id="105"/>
    <w:p>
      <w:pPr>
        <w:pStyle w:val="Compact"/>
        <w:numPr>
          <w:numId w:val="22"/>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6" w:name="final-deliverables"/>
    <w:p>
      <w:pPr>
        <w:pStyle w:val="Heading2"/>
      </w:pPr>
      <w:r>
        <w:t xml:space="preserve">Final Deliverables</w:t>
      </w:r>
    </w:p>
    <w:bookmarkEnd w:id="106"/>
    <w:p>
      <w:pPr>
        <w:pStyle w:val="Compact"/>
        <w:numPr>
          <w:numId w:val="26"/>
          <w:ilvl w:val="0"/>
        </w:numPr>
      </w:pPr>
      <w:r>
        <w:rPr>
          <w:b/>
        </w:rPr>
        <w:t xml:space="preserve">Due October 28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28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28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7" w:name="resources-1"/>
    <w:p>
      <w:pPr>
        <w:pStyle w:val="Heading2"/>
      </w:pPr>
      <w:r>
        <w:t xml:space="preserve">Resources</w:t>
      </w:r>
    </w:p>
    <w:bookmarkEnd w:id="107"/>
    <w:p>
      <w:pPr>
        <w:pStyle w:val="Compact"/>
        <w:numPr>
          <w:numId w:val="30"/>
          <w:ilvl w:val="0"/>
        </w:numPr>
      </w:pPr>
      <w:r>
        <w:t xml:space="preserve">Walliman on defining the research problem</w:t>
      </w:r>
    </w:p>
    <w:p>
      <w:pPr>
        <w:pStyle w:val="Compact"/>
        <w:numPr>
          <w:numId w:val="31"/>
          <w:ilvl w:val="1"/>
        </w:numPr>
      </w:pPr>
      <w:hyperlink r:id="rId108">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4">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09">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37ab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56d0c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ddbe2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