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Aug</w:t>
      </w:r>
      <w:r>
        <w:t xml:space="preserve"> </w:t>
      </w:r>
      <w:r>
        <w:t xml:space="preserve">21,</w:t>
      </w:r>
      <w:r>
        <w:t xml:space="preserve"> </w:t>
      </w:r>
      <w:r>
        <w:t xml:space="preserve">2017</w:t>
      </w:r>
      <w:r>
        <w:t xml:space="preserve"> </w:t>
      </w:r>
      <w:r>
        <w:t xml:space="preserve">5:27:48</w:t>
      </w:r>
      <w:r>
        <w:t xml:space="preserve"> </w:t>
      </w:r>
      <w:r>
        <w:t xml:space="preserve">PM</w:t>
      </w:r>
    </w:p>
    <w:p>
      <w:pPr>
        <w:pStyle w:val="FirstParagraph"/>
      </w:pPr>
      <w:r>
        <w:t xml:space="preserve">IS561-A</w:t>
      </w:r>
      <w:r>
        <w:br w:type="textWrapping"/>
      </w:r>
      <w:r>
        <w:t xml:space="preserve">Fall 2017</w:t>
      </w:r>
      <w:r>
        <w:br w:type="textWrapping"/>
      </w:r>
      <w:r>
        <w:t xml:space="preserve">Monday, Wednesday 8:00-9:20 AM</w:t>
      </w:r>
      <w:r>
        <w:br w:type="textWrapping"/>
      </w:r>
      <w:r>
        <w:t xml:space="preserve">131 Animal Sciences</w:t>
      </w:r>
      <w:r>
        <w:br w:type="textWrapping"/>
      </w:r>
      <w:r>
        <w:t xml:space="preserve">4 GR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Mondays, 2:00-5:00 PM and by appointment</w:t>
      </w:r>
      <w:r>
        <w:br w:type="textWrapping"/>
      </w:r>
      <w:r>
        <w:t xml:space="preserve">Phone: (217) 244-3275</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Tuesdays, 1-3pm and by appointment</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Wednesday, 10am-12pm</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Thursdays, 10 am - 12 pm</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dave-dubin"/>
      <w:bookmarkEnd w:id="27"/>
      <w:r>
        <w:t xml:space="preserve">About Dave Dubin</w:t>
      </w:r>
    </w:p>
    <w:p>
      <w:pPr>
        <w:pStyle w:val="FirstParagraph"/>
      </w:pPr>
      <w:r>
        <w:t xml:space="preserve">David Dubin is a Research Associate Professor at the School of Information Sciences.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Comprehension quizzes (usually due on Friday)</w:t>
            </w:r>
          </w:p>
        </w:tc>
        <w:tc>
          <w:p>
            <w:pPr>
              <w:pStyle w:val="Compact"/>
              <w:jc w:val="left"/>
            </w:pPr>
            <w:r>
              <w:t xml:space="preserve">35%</w:t>
            </w:r>
          </w:p>
        </w:tc>
      </w:tr>
      <w:tr>
        <w:tc>
          <w:p>
            <w:pPr>
              <w:pStyle w:val="Compact"/>
              <w:jc w:val="left"/>
            </w:pPr>
            <w:r>
              <w:t xml:space="preserve">Group classroom exercises</w:t>
            </w:r>
          </w:p>
        </w:tc>
        <w:tc>
          <w:p>
            <w:pPr>
              <w:pStyle w:val="Compact"/>
              <w:jc w:val="left"/>
            </w:pPr>
            <w:r>
              <w:t xml:space="preserve">22%</w:t>
            </w:r>
          </w:p>
        </w:tc>
      </w:tr>
      <w:tr>
        <w:tc>
          <w:p>
            <w:pPr>
              <w:pStyle w:val="Compact"/>
              <w:jc w:val="left"/>
            </w:pPr>
            <w:r>
              <w:t xml:space="preserve">Modeling scenario memoranda</w:t>
            </w:r>
          </w:p>
        </w:tc>
        <w:tc>
          <w:p>
            <w:pPr>
              <w:pStyle w:val="Compact"/>
              <w:jc w:val="left"/>
            </w:pPr>
            <w:r>
              <w:t xml:space="preserve">40%</w:t>
            </w:r>
          </w:p>
        </w:tc>
      </w:tr>
      <w:tr>
        <w:tc>
          <w:p>
            <w:pPr>
              <w:pStyle w:val="Compact"/>
              <w:jc w:val="left"/>
            </w:pPr>
            <w:r>
              <w:t xml:space="preserve">Participation and engagement in class and on forums</w:t>
            </w:r>
          </w:p>
        </w:tc>
        <w:tc>
          <w:p>
            <w:pPr>
              <w:pStyle w:val="Compact"/>
              <w:jc w:val="left"/>
            </w:pPr>
            <w:r>
              <w:t xml:space="preserve">3%</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modeling-scenario-memoranda"/>
      <w:bookmarkEnd w:id="52"/>
      <w:r>
        <w:t xml:space="preserve">Modeling scenario memoranda</w:t>
      </w:r>
    </w:p>
    <w:p>
      <w:pPr>
        <w:pStyle w:val="FirstParagraph"/>
      </w:pPr>
      <w:r>
        <w:t xml:space="preserve">Modeling scenario memoranda are short written assignments (typically 1-2 pages).</w:t>
      </w:r>
      <w:r>
        <w:t xml:space="preserve"> </w:t>
      </w:r>
      <w:r>
        <w:t xml:space="preserve">In these memos, you will offer analyses and recommendations, and request</w:t>
      </w:r>
      <w:r>
        <w:t xml:space="preserve"> </w:t>
      </w:r>
      <w:r>
        <w:t xml:space="preserve">clarifications, related to modeling exercises and the case studies that frame</w:t>
      </w:r>
      <w:r>
        <w:t xml:space="preserve"> </w:t>
      </w:r>
      <w:r>
        <w:t xml:space="preserve">them. The audience for such memos generally includes professional colleagues,</w:t>
      </w:r>
      <w:r>
        <w:t xml:space="preserve"> </w:t>
      </w:r>
      <w:r>
        <w:t xml:space="preserve">clients, and supervisors; you will practice writing for these audiences.</w:t>
      </w:r>
    </w:p>
    <w:p>
      <w:pPr>
        <w:pStyle w:val="BodyText"/>
      </w:pPr>
      <w:r>
        <w:t xml:space="preserve">Assesment of your work on these exercises will be based on the clarity</w:t>
      </w:r>
      <w:r>
        <w:t xml:space="preserve"> </w:t>
      </w:r>
      <w:r>
        <w:t xml:space="preserve">of your writing and on your success in presenting the appropriate tone.</w:t>
      </w:r>
      <w:r>
        <w:t xml:space="preserve"> </w:t>
      </w:r>
      <w:r>
        <w:t xml:space="preserve">For recommendations on tone in business writing, consult the resources</w:t>
      </w:r>
      <w:r>
        <w:t xml:space="preserve"> </w:t>
      </w:r>
      <w:r>
        <w:t xml:space="preserve">at</w:t>
      </w:r>
      <w:r>
        <w:t xml:space="preserve"> </w:t>
      </w:r>
      <w:hyperlink r:id="rId53">
        <w:r>
          <w:rPr>
            <w:rStyle w:val="Hyperlink"/>
          </w:rPr>
          <w:t xml:space="preserve">https://owl.english.purdue.edu/owl/resource/652/1/</w:t>
        </w:r>
      </w:hyperlink>
      <w:r>
        <w:t xml:space="preserve">.</w:t>
      </w:r>
    </w:p>
    <w:p>
      <w:pPr>
        <w:pStyle w:val="Heading3"/>
      </w:pPr>
      <w:bookmarkStart w:id="54" w:name="participation-and-engagement-in-class-and-on-forums"/>
      <w:bookmarkEnd w:id="54"/>
      <w:r>
        <w:t xml:space="preserve">Participation and engagement in class and on forums</w:t>
      </w:r>
    </w:p>
    <w:p>
      <w:pPr>
        <w:pStyle w:val="FirstParagraph"/>
      </w:pPr>
      <w:r>
        <w:t xml:space="preserve">Participation and engagement, both in class and on Moodle, means cooperating with group members;</w:t>
      </w:r>
      <w:r>
        <w:t xml:space="preserve"> </w:t>
      </w:r>
      <w:r>
        <w:t xml:space="preserve">asking and answering questions in class, online and in office hours; working consistently</w:t>
      </w:r>
      <w:r>
        <w:t xml:space="preserve"> </w:t>
      </w:r>
      <w:r>
        <w:t xml:space="preserve">throughout the semester; and engaging with classmates both inside and outside of class.</w:t>
      </w:r>
    </w:p>
    <w:p>
      <w:pPr>
        <w:pStyle w:val="Heading1"/>
      </w:pPr>
      <w:bookmarkStart w:id="55" w:name="topic-schedule"/>
      <w:bookmarkEnd w:id="55"/>
      <w:r>
        <w:t xml:space="preserve">Topic Schedule</w:t>
      </w:r>
    </w:p>
    <w:p>
      <w:pPr>
        <w:pStyle w:val="Heading3"/>
      </w:pPr>
      <w:bookmarkStart w:id="56" w:name="week-1-august-28-and-30"/>
      <w:bookmarkEnd w:id="56"/>
      <w:r>
        <w:t xml:space="preserve">Week 1: August 28 and 30</w:t>
      </w:r>
    </w:p>
    <w:p>
      <w:pPr>
        <w:pStyle w:val="Compact"/>
        <w:numPr>
          <w:numId w:val="1003"/>
          <w:ilvl w:val="0"/>
        </w:numPr>
      </w:pPr>
      <w:r>
        <w:t xml:space="preserve">Propositional Logic, Part 1</w:t>
      </w:r>
    </w:p>
    <w:p>
      <w:pPr>
        <w:pStyle w:val="Compact"/>
        <w:numPr>
          <w:numId w:val="1004"/>
          <w:ilvl w:val="1"/>
        </w:numPr>
      </w:pPr>
      <w:r>
        <w:rPr>
          <w:b/>
        </w:rPr>
        <w:t xml:space="preserve">Required Readings:</w:t>
      </w:r>
      <w:r>
        <w:t xml:space="preserve"> </w:t>
      </w:r>
      <w:r>
        <w:t xml:space="preserve">Benthem et al. 2014a</w:t>
      </w:r>
    </w:p>
    <w:p>
      <w:pPr>
        <w:pStyle w:val="Heading3"/>
      </w:pPr>
      <w:bookmarkStart w:id="57" w:name="week-2-september-6"/>
      <w:bookmarkEnd w:id="57"/>
      <w:r>
        <w:t xml:space="preserve">Week 2: September 6</w:t>
      </w:r>
    </w:p>
    <w:p>
      <w:pPr>
        <w:pStyle w:val="Compact"/>
        <w:numPr>
          <w:numId w:val="1005"/>
          <w:ilvl w:val="0"/>
        </w:numPr>
      </w:pPr>
      <w:r>
        <w:t xml:space="preserve">Propositional Logic, Part 2</w:t>
      </w:r>
    </w:p>
    <w:p>
      <w:pPr>
        <w:pStyle w:val="Compact"/>
        <w:numPr>
          <w:numId w:val="1006"/>
          <w:ilvl w:val="1"/>
        </w:numPr>
      </w:pPr>
      <w:r>
        <w:rPr>
          <w:b/>
        </w:rPr>
        <w:t xml:space="preserve">Required Readings:</w:t>
      </w:r>
      <w:r>
        <w:t xml:space="preserve"> </w:t>
      </w:r>
      <w:r>
        <w:t xml:space="preserve">Bach 1989a</w:t>
      </w:r>
    </w:p>
    <w:p>
      <w:pPr>
        <w:pStyle w:val="Heading3"/>
      </w:pPr>
      <w:bookmarkStart w:id="58" w:name="week-3-september-11-and-13"/>
      <w:bookmarkEnd w:id="58"/>
      <w:r>
        <w:t xml:space="preserve">Week 3: September 11 and 13</w:t>
      </w:r>
    </w:p>
    <w:p>
      <w:pPr>
        <w:pStyle w:val="Compact"/>
        <w:numPr>
          <w:numId w:val="1007"/>
          <w:ilvl w:val="0"/>
        </w:numPr>
      </w:pPr>
      <w:r>
        <w:t xml:space="preserve">Models and Domains</w:t>
      </w:r>
    </w:p>
    <w:p>
      <w:pPr>
        <w:pStyle w:val="Compact"/>
        <w:numPr>
          <w:numId w:val="1008"/>
          <w:ilvl w:val="1"/>
        </w:numPr>
      </w:pPr>
      <w:r>
        <w:rPr>
          <w:b/>
        </w:rPr>
        <w:t xml:space="preserve">Required Readings:</w:t>
      </w:r>
      <w:r>
        <w:t xml:space="preserve"> </w:t>
      </w:r>
      <w:r>
        <w:t xml:space="preserve">Jubien 1997a, 1997b; Seidl et al. 2015a</w:t>
      </w:r>
    </w:p>
    <w:p>
      <w:pPr>
        <w:pStyle w:val="Heading3"/>
      </w:pPr>
      <w:bookmarkStart w:id="59" w:name="week-4-september-18-and-20"/>
      <w:bookmarkEnd w:id="59"/>
      <w:r>
        <w:t xml:space="preserve">Week 4: September 18 and 20</w:t>
      </w:r>
    </w:p>
    <w:p>
      <w:pPr>
        <w:pStyle w:val="Compact"/>
        <w:numPr>
          <w:numId w:val="1009"/>
          <w:ilvl w:val="0"/>
        </w:numPr>
      </w:pPr>
      <w:r>
        <w:t xml:space="preserve">Predicate Logic, Part 1</w:t>
      </w:r>
    </w:p>
    <w:p>
      <w:pPr>
        <w:pStyle w:val="Compact"/>
        <w:numPr>
          <w:numId w:val="1010"/>
          <w:ilvl w:val="1"/>
        </w:numPr>
      </w:pPr>
      <w:r>
        <w:rPr>
          <w:b/>
        </w:rPr>
        <w:t xml:space="preserve">Required Readings:</w:t>
      </w:r>
      <w:r>
        <w:t xml:space="preserve"> </w:t>
      </w:r>
      <w:r>
        <w:t xml:space="preserve">Benthem et al. 2014b</w:t>
      </w:r>
    </w:p>
    <w:p>
      <w:pPr>
        <w:pStyle w:val="Heading3"/>
      </w:pPr>
      <w:bookmarkStart w:id="60" w:name="week-5-september-25-and-27"/>
      <w:bookmarkEnd w:id="60"/>
      <w:r>
        <w:t xml:space="preserve">Week 5: September 25 and 27</w:t>
      </w:r>
    </w:p>
    <w:p>
      <w:pPr>
        <w:pStyle w:val="Compact"/>
        <w:numPr>
          <w:numId w:val="1011"/>
          <w:ilvl w:val="0"/>
        </w:numPr>
      </w:pPr>
      <w:r>
        <w:t xml:space="preserve">Sets and relations</w:t>
      </w:r>
    </w:p>
    <w:p>
      <w:pPr>
        <w:pStyle w:val="Compact"/>
        <w:numPr>
          <w:numId w:val="1012"/>
          <w:ilvl w:val="1"/>
        </w:numPr>
      </w:pPr>
      <w:r>
        <w:rPr>
          <w:b/>
        </w:rPr>
        <w:t xml:space="preserve">Required Readings:</w:t>
      </w:r>
      <w:r>
        <w:t xml:space="preserve"> </w:t>
      </w:r>
      <w:r>
        <w:t xml:space="preserve">Partee 2006</w:t>
      </w:r>
    </w:p>
    <w:p>
      <w:pPr>
        <w:pStyle w:val="Compact"/>
        <w:numPr>
          <w:numId w:val="1011"/>
          <w:ilvl w:val="0"/>
        </w:numPr>
      </w:pPr>
      <w:r>
        <w:t xml:space="preserve">Predicate Logic, Part 2</w:t>
      </w:r>
    </w:p>
    <w:p>
      <w:pPr>
        <w:pStyle w:val="Heading3"/>
      </w:pPr>
      <w:bookmarkStart w:id="61" w:name="week-6-october-2-and-4"/>
      <w:bookmarkEnd w:id="61"/>
      <w:r>
        <w:t xml:space="preserve">Week 6: October 2 and 4</w:t>
      </w:r>
    </w:p>
    <w:p>
      <w:pPr>
        <w:pStyle w:val="Compact"/>
        <w:numPr>
          <w:numId w:val="1013"/>
          <w:ilvl w:val="0"/>
        </w:numPr>
      </w:pPr>
      <w:r>
        <w:t xml:space="preserve">Functions</w:t>
      </w:r>
    </w:p>
    <w:p>
      <w:pPr>
        <w:pStyle w:val="Compact"/>
        <w:numPr>
          <w:numId w:val="1013"/>
          <w:ilvl w:val="0"/>
        </w:numPr>
      </w:pPr>
      <w:r>
        <w:t xml:space="preserve">UML Part 1: notation</w:t>
      </w:r>
    </w:p>
    <w:p>
      <w:pPr>
        <w:pStyle w:val="Compact"/>
        <w:numPr>
          <w:numId w:val="1014"/>
          <w:ilvl w:val="1"/>
        </w:numPr>
      </w:pPr>
      <w:r>
        <w:rPr>
          <w:b/>
        </w:rPr>
        <w:t xml:space="preserve">Required Readings:</w:t>
      </w:r>
      <w:r>
        <w:t xml:space="preserve"> </w:t>
      </w:r>
      <w:r>
        <w:t xml:space="preserve">Seidl et al. 2015b</w:t>
      </w:r>
    </w:p>
    <w:p>
      <w:pPr>
        <w:pStyle w:val="Heading3"/>
      </w:pPr>
      <w:bookmarkStart w:id="62" w:name="week-7-october-9-and-11"/>
      <w:bookmarkEnd w:id="62"/>
      <w:r>
        <w:t xml:space="preserve">Week 7: October 9 and 11</w:t>
      </w:r>
    </w:p>
    <w:p>
      <w:pPr>
        <w:pStyle w:val="Compact"/>
        <w:numPr>
          <w:numId w:val="1015"/>
          <w:ilvl w:val="0"/>
        </w:numPr>
      </w:pPr>
      <w:r>
        <w:t xml:space="preserve">Normal forms, Part 1</w:t>
      </w:r>
    </w:p>
    <w:p>
      <w:pPr>
        <w:pStyle w:val="Compact"/>
        <w:numPr>
          <w:numId w:val="1016"/>
          <w:ilvl w:val="1"/>
        </w:numPr>
      </w:pPr>
      <w:r>
        <w:rPr>
          <w:b/>
        </w:rPr>
        <w:t xml:space="preserve">Required Readings:</w:t>
      </w:r>
      <w:r>
        <w:t xml:space="preserve"> </w:t>
      </w:r>
      <w:r>
        <w:t xml:space="preserve">Kent 1983</w:t>
      </w:r>
    </w:p>
    <w:p>
      <w:pPr>
        <w:pStyle w:val="Compact"/>
        <w:numPr>
          <w:numId w:val="1015"/>
          <w:ilvl w:val="0"/>
        </w:numPr>
      </w:pPr>
      <w:r>
        <w:t xml:space="preserve">UML Part 2: classes and sets</w:t>
      </w:r>
    </w:p>
    <w:p>
      <w:pPr>
        <w:pStyle w:val="Heading3"/>
      </w:pPr>
      <w:bookmarkStart w:id="63" w:name="week-8-october-16-and-18"/>
      <w:bookmarkEnd w:id="63"/>
      <w:r>
        <w:t xml:space="preserve">Week 8: October 16 and 18</w:t>
      </w:r>
    </w:p>
    <w:p>
      <w:pPr>
        <w:pStyle w:val="Compact"/>
        <w:numPr>
          <w:numId w:val="1017"/>
          <w:ilvl w:val="0"/>
        </w:numPr>
      </w:pPr>
      <w:r>
        <w:t xml:space="preserve">Normal forms, Part 2</w:t>
      </w:r>
    </w:p>
    <w:p>
      <w:pPr>
        <w:pStyle w:val="Compact"/>
        <w:numPr>
          <w:numId w:val="1017"/>
          <w:ilvl w:val="0"/>
        </w:numPr>
      </w:pPr>
      <w:r>
        <w:t xml:space="preserve">Relational Algebra</w:t>
      </w:r>
    </w:p>
    <w:p>
      <w:pPr>
        <w:pStyle w:val="Compact"/>
        <w:numPr>
          <w:numId w:val="1018"/>
          <w:ilvl w:val="1"/>
        </w:numPr>
      </w:pPr>
      <w:r>
        <w:rPr>
          <w:b/>
        </w:rPr>
        <w:t xml:space="preserve">Required Readings:</w:t>
      </w:r>
      <w:r>
        <w:t xml:space="preserve"> </w:t>
      </w:r>
      <w:r>
        <w:t xml:space="preserve">Wenholz 2012</w:t>
      </w:r>
    </w:p>
    <w:p>
      <w:pPr>
        <w:pStyle w:val="Heading3"/>
      </w:pPr>
      <w:bookmarkStart w:id="64" w:name="week-9-october-23-and-25"/>
      <w:bookmarkEnd w:id="64"/>
      <w:r>
        <w:t xml:space="preserve">Week 9: October 23 and 25</w:t>
      </w:r>
    </w:p>
    <w:p>
      <w:pPr>
        <w:pStyle w:val="Compact"/>
        <w:numPr>
          <w:numId w:val="1019"/>
          <w:ilvl w:val="0"/>
        </w:numPr>
      </w:pPr>
      <w:r>
        <w:t xml:space="preserve">Syntax and Grammar</w:t>
      </w:r>
    </w:p>
    <w:p>
      <w:pPr>
        <w:pStyle w:val="Compact"/>
        <w:numPr>
          <w:numId w:val="1020"/>
          <w:ilvl w:val="1"/>
        </w:numPr>
      </w:pPr>
      <w:r>
        <w:rPr>
          <w:b/>
        </w:rPr>
        <w:t xml:space="preserve">Required Readings:</w:t>
      </w:r>
      <w:r>
        <w:t xml:space="preserve"> </w:t>
      </w:r>
      <w:r>
        <w:t xml:space="preserve">Rosen 1988</w:t>
      </w:r>
    </w:p>
    <w:p>
      <w:pPr>
        <w:pStyle w:val="Heading3"/>
      </w:pPr>
      <w:bookmarkStart w:id="65" w:name="week-10-october-30-and-november-1"/>
      <w:bookmarkEnd w:id="65"/>
      <w:r>
        <w:t xml:space="preserve">Week 10: October 30 and November 1</w:t>
      </w:r>
    </w:p>
    <w:p>
      <w:pPr>
        <w:pStyle w:val="Compact"/>
        <w:numPr>
          <w:numId w:val="1021"/>
          <w:ilvl w:val="0"/>
        </w:numPr>
      </w:pPr>
      <w:r>
        <w:t xml:space="preserve">Semantics and Interpretation, Part 1</w:t>
      </w:r>
    </w:p>
    <w:p>
      <w:pPr>
        <w:pStyle w:val="Compact"/>
        <w:numPr>
          <w:numId w:val="1022"/>
          <w:ilvl w:val="1"/>
        </w:numPr>
      </w:pPr>
      <w:r>
        <w:rPr>
          <w:b/>
        </w:rPr>
        <w:t xml:space="preserve">Required Readings:</w:t>
      </w:r>
      <w:r>
        <w:t xml:space="preserve"> </w:t>
      </w:r>
      <w:r>
        <w:t xml:space="preserve">Bach 1989a, 1989b</w:t>
      </w:r>
    </w:p>
    <w:p>
      <w:pPr>
        <w:pStyle w:val="Heading3"/>
      </w:pPr>
      <w:bookmarkStart w:id="66" w:name="week-11-november-6-and-8"/>
      <w:bookmarkEnd w:id="66"/>
      <w:r>
        <w:t xml:space="preserve">Week 11: November 6 and 8</w:t>
      </w:r>
    </w:p>
    <w:p>
      <w:pPr>
        <w:pStyle w:val="Compact"/>
        <w:numPr>
          <w:numId w:val="1023"/>
          <w:ilvl w:val="0"/>
        </w:numPr>
      </w:pPr>
      <w:r>
        <w:t xml:space="preserve">The RDF model and language</w:t>
      </w:r>
    </w:p>
    <w:p>
      <w:pPr>
        <w:pStyle w:val="Compact"/>
        <w:numPr>
          <w:numId w:val="1024"/>
          <w:ilvl w:val="1"/>
        </w:numPr>
      </w:pPr>
      <w:r>
        <w:rPr>
          <w:b/>
        </w:rPr>
        <w:t xml:space="preserve">Required Readings:</w:t>
      </w:r>
      <w:r>
        <w:t xml:space="preserve"> </w:t>
      </w:r>
      <w:r>
        <w:t xml:space="preserve">Manola et al. 2014</w:t>
      </w:r>
    </w:p>
    <w:p>
      <w:pPr>
        <w:pStyle w:val="Compact"/>
        <w:numPr>
          <w:numId w:val="1023"/>
          <w:ilvl w:val="0"/>
        </w:numPr>
      </w:pPr>
      <w:r>
        <w:t xml:space="preserve">Semantics and Interpretation, Part 2</w:t>
      </w:r>
    </w:p>
    <w:p>
      <w:pPr>
        <w:pStyle w:val="Heading3"/>
      </w:pPr>
      <w:bookmarkStart w:id="67" w:name="week-12-november-13-and-15"/>
      <w:bookmarkEnd w:id="67"/>
      <w:r>
        <w:t xml:space="preserve">Week 12: November 13 and 15</w:t>
      </w:r>
    </w:p>
    <w:p>
      <w:pPr>
        <w:pStyle w:val="Compact"/>
        <w:numPr>
          <w:numId w:val="1025"/>
          <w:ilvl w:val="0"/>
        </w:numPr>
      </w:pPr>
      <w:r>
        <w:t xml:space="preserve">Ontologies</w:t>
      </w:r>
    </w:p>
    <w:p>
      <w:pPr>
        <w:pStyle w:val="Compact"/>
        <w:numPr>
          <w:numId w:val="1026"/>
          <w:ilvl w:val="1"/>
        </w:numPr>
      </w:pPr>
      <w:r>
        <w:rPr>
          <w:b/>
        </w:rPr>
        <w:t xml:space="preserve">Required Readings:</w:t>
      </w:r>
      <w:r>
        <w:t xml:space="preserve"> </w:t>
      </w:r>
      <w:r>
        <w:t xml:space="preserve">Hitzler et al. 2012</w:t>
      </w:r>
    </w:p>
    <w:p>
      <w:pPr>
        <w:pStyle w:val="Heading3"/>
      </w:pPr>
      <w:bookmarkStart w:id="68" w:name="thanksgiving-holiday-november-20-and-22"/>
      <w:bookmarkEnd w:id="68"/>
      <w:r>
        <w:t xml:space="preserve">Thanksgiving Holiday: November 20 and 22</w:t>
      </w:r>
    </w:p>
    <w:p>
      <w:pPr>
        <w:pStyle w:val="Heading3"/>
      </w:pPr>
      <w:bookmarkStart w:id="69" w:name="week-14-november-27-and-29"/>
      <w:bookmarkEnd w:id="69"/>
      <w:r>
        <w:t xml:space="preserve">Week 14: November 27 and 29</w:t>
      </w:r>
    </w:p>
    <w:p>
      <w:pPr>
        <w:pStyle w:val="Compact"/>
        <w:numPr>
          <w:numId w:val="1027"/>
          <w:ilvl w:val="0"/>
        </w:numPr>
      </w:pPr>
      <w:r>
        <w:t xml:space="preserve">Inference and reasoners</w:t>
      </w:r>
    </w:p>
    <w:p>
      <w:pPr>
        <w:pStyle w:val="Heading3"/>
      </w:pPr>
      <w:bookmarkStart w:id="70" w:name="week-15-december-4-and-6"/>
      <w:bookmarkEnd w:id="70"/>
      <w:r>
        <w:t xml:space="preserve">Week 15: December 4 and 6</w:t>
      </w:r>
    </w:p>
    <w:p>
      <w:pPr>
        <w:pStyle w:val="Compact"/>
        <w:numPr>
          <w:numId w:val="1028"/>
          <w:ilvl w:val="0"/>
        </w:numPr>
      </w:pPr>
      <w:r>
        <w:t xml:space="preserve">Description Logics</w:t>
      </w:r>
    </w:p>
    <w:p>
      <w:pPr>
        <w:pStyle w:val="Compact"/>
        <w:numPr>
          <w:numId w:val="1029"/>
          <w:ilvl w:val="1"/>
        </w:numPr>
      </w:pPr>
      <w:r>
        <w:rPr>
          <w:b/>
        </w:rPr>
        <w:t xml:space="preserve">Required Readings:</w:t>
      </w:r>
      <w:r>
        <w:t xml:space="preserve"> </w:t>
      </w:r>
      <w:r>
        <w:t xml:space="preserve">Krötzsch et al. 2012</w:t>
      </w:r>
    </w:p>
    <w:p>
      <w:pPr>
        <w:pStyle w:val="Heading3"/>
      </w:pPr>
      <w:bookmarkStart w:id="71" w:name="week-16-december-11-and-13"/>
      <w:bookmarkEnd w:id="71"/>
      <w:r>
        <w:t xml:space="preserve">Week 16: December 11 and 13</w:t>
      </w:r>
    </w:p>
    <w:p>
      <w:pPr>
        <w:pStyle w:val="Compact"/>
        <w:numPr>
          <w:numId w:val="1030"/>
          <w:ilvl w:val="0"/>
        </w:numPr>
      </w:pPr>
      <w:r>
        <w:t xml:space="preserve">Wrapup and Evaluation</w:t>
      </w:r>
    </w:p>
    <w:p>
      <w:pPr>
        <w:pStyle w:val="Heading1"/>
      </w:pPr>
      <w:bookmarkStart w:id="72" w:name="readings"/>
      <w:bookmarkEnd w:id="72"/>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3">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3">
        <w:r>
          <w:rPr>
            <w:rStyle w:val="Hyperlink"/>
          </w:rPr>
          <w:t xml:space="preserve">https://uofi.box.com/s/lfqsrzjkhzdzml9d2g5w0ndtyvn0ndom</w:t>
        </w:r>
      </w:hyperlink>
      <w:r>
        <w:t xml:space="preserve">.</w:t>
      </w:r>
    </w:p>
    <w:p>
      <w:pPr>
        <w:pStyle w:val="Bibliography"/>
      </w:pPr>
      <w:r>
        <w:t xml:space="preserve">Benthem, J van, Ditmarsch, H van, Eijck, J van, and Jaspars, J. 2014a. “Chapter 2: Propositional Logic”. In</w:t>
      </w:r>
      <w:r>
        <w:t xml:space="preserve"> </w:t>
      </w:r>
      <w:r>
        <w:rPr>
          <w:i/>
        </w:rPr>
        <w:t xml:space="preserve">Logic in Action</w:t>
      </w:r>
      <w:r>
        <w:t xml:space="preserve">. Amsterdam, NL, 2.1–2.37.</w:t>
      </w:r>
      <w:r>
        <w:t xml:space="preserve"> </w:t>
      </w:r>
      <w:hyperlink r:id="rId74">
        <w:r>
          <w:rPr>
            <w:rStyle w:val="Hyperlink"/>
          </w:rPr>
          <w:t xml:space="preserve">http://www.logicinaction.org/docs/ch2.pdf</w:t>
        </w:r>
      </w:hyperlink>
      <w:r>
        <w:t xml:space="preserve">.</w:t>
      </w:r>
    </w:p>
    <w:p>
      <w:pPr>
        <w:pStyle w:val="Bibliography"/>
      </w:pPr>
      <w:r>
        <w:t xml:space="preserve">Benthem, J van, Ditmarsch, H van, Eijck, J van, and Jaspars, J. 2014b. “Chapter 4: The World According to Predicate Logic”. In</w:t>
      </w:r>
      <w:r>
        <w:t xml:space="preserve"> </w:t>
      </w:r>
      <w:r>
        <w:rPr>
          <w:i/>
        </w:rPr>
        <w:t xml:space="preserve">Logic in Action</w:t>
      </w:r>
      <w:r>
        <w:t xml:space="preserve">. Amsterdam, NL, 4.1–4.53.</w:t>
      </w:r>
      <w:r>
        <w:t xml:space="preserve"> </w:t>
      </w:r>
      <w:hyperlink r:id="rId75">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6">
        <w:r>
          <w:rPr>
            <w:rStyle w:val="Hyperlink"/>
          </w:rPr>
          <w:t xml:space="preserve">http://www.w3.org/TR/owl2-primer/</w:t>
        </w:r>
      </w:hyperlink>
      <w:r>
        <w:t xml:space="preserve">.</w:t>
      </w:r>
    </w:p>
    <w:p>
      <w:pPr>
        <w:pStyle w:val="Bibliography"/>
      </w:pPr>
      <w:r>
        <w:t xml:space="preserve">Jubien, M. 1997a. “Numbers”. In</w:t>
      </w:r>
      <w:r>
        <w:t xml:space="preserve"> </w:t>
      </w:r>
      <w:r>
        <w:rPr>
          <w:i/>
        </w:rPr>
        <w:t xml:space="preserve">Contemporary Metaphysics: An Introduction</w:t>
      </w:r>
      <w:r>
        <w:t xml:space="preserve">. Cambridge MA, 24–35.</w:t>
      </w:r>
      <w:r>
        <w:t xml:space="preserve"> </w:t>
      </w:r>
      <w:hyperlink r:id="rId77">
        <w:r>
          <w:rPr>
            <w:rStyle w:val="Hyperlink"/>
          </w:rPr>
          <w:t xml:space="preserve">https://uofi.box.com/s/jckt75igz7p4we1yaaoub64f54t8na1c</w:t>
        </w:r>
      </w:hyperlink>
      <w:r>
        <w:t xml:space="preserve">.</w:t>
      </w:r>
    </w:p>
    <w:p>
      <w:pPr>
        <w:pStyle w:val="Bibliography"/>
      </w:pPr>
      <w:r>
        <w:t xml:space="preserve">Jubien, M. 1997b. “Platonism”. In</w:t>
      </w:r>
      <w:r>
        <w:t xml:space="preserve"> </w:t>
      </w:r>
      <w:r>
        <w:rPr>
          <w:i/>
        </w:rPr>
        <w:t xml:space="preserve">Contemporary Metaphysics: An Introduction</w:t>
      </w:r>
      <w:r>
        <w:t xml:space="preserve">. Cambridge MA, 36–62.</w:t>
      </w:r>
      <w:r>
        <w:t xml:space="preserve"> </w:t>
      </w:r>
      <w:hyperlink r:id="rId77">
        <w:r>
          <w:rPr>
            <w:rStyle w:val="Hyperlink"/>
          </w:rPr>
          <w:t xml:space="preserve">https://uofi.box.com/s/jckt75igz7p4we1yaaoub64f54t8na1c</w:t>
        </w:r>
      </w:hyperlink>
      <w:r>
        <w:t xml:space="preserve">.</w:t>
      </w:r>
    </w:p>
    <w:p>
      <w:pPr>
        <w:pStyle w:val="Bibliography"/>
      </w:pPr>
      <w:r>
        <w:t xml:space="preserve">Kent, W. 1983. “A Simple Guide to Five Normal Forms in Relational Database Theory”.</w:t>
      </w:r>
      <w:r>
        <w:t xml:space="preserve"> </w:t>
      </w:r>
      <w:r>
        <w:rPr>
          <w:i/>
        </w:rPr>
        <w:t xml:space="preserve">Communications of the ACM</w:t>
      </w:r>
      <w:r>
        <w:t xml:space="preserve"> </w:t>
      </w:r>
      <w:r>
        <w:t xml:space="preserve">26.2, 120–125.</w:t>
      </w:r>
      <w:r>
        <w:t xml:space="preserve"> </w:t>
      </w:r>
      <w:hyperlink r:id="rId78">
        <w:r>
          <w:rPr>
            <w:rStyle w:val="Hyperlink"/>
          </w:rPr>
          <w:t xml:space="preserve">http://doi.acm.org.proxy2.library.illinois.edu/10.1145/358024.358054</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79">
        <w:r>
          <w:rPr>
            <w:rStyle w:val="Hyperlink"/>
          </w:rPr>
          <w:t xml:space="preserve">http://arxiv.org/abs/1201.4089</w:t>
        </w:r>
      </w:hyperlink>
      <w:r>
        <w:t xml:space="preserve">.</w:t>
      </w:r>
    </w:p>
    <w:p>
      <w:pPr>
        <w:pStyle w:val="Bibliography"/>
      </w:pPr>
      <w:r>
        <w:t xml:space="preserve">Manola, F, Miller, E, and McBride, B. 2014. “RDF 1.1 Primer”.</w:t>
      </w:r>
      <w:r>
        <w:t xml:space="preserve"> </w:t>
      </w:r>
      <w:hyperlink r:id="rId80">
        <w:r>
          <w:rPr>
            <w:rStyle w:val="Hyperlink"/>
          </w:rPr>
          <w:t xml:space="preserve">https://www.w3.org/TR/2014/NOTE-rdf11-primer-20140624/</w:t>
        </w:r>
      </w:hyperlink>
      <w:r>
        <w:t xml:space="preserve">.</w:t>
      </w:r>
    </w:p>
    <w:p>
      <w:pPr>
        <w:pStyle w:val="Bibliography"/>
      </w:pPr>
      <w:r>
        <w:t xml:space="preserve">Partee, B H. 2006. “Basic Concepts of Set Theory, Functions and Relations”.</w:t>
      </w:r>
      <w:r>
        <w:t xml:space="preserve"> </w:t>
      </w:r>
      <w:hyperlink r:id="rId81">
        <w:r>
          <w:rPr>
            <w:rStyle w:val="Hyperlink"/>
          </w:rPr>
          <w:t xml:space="preserve">http://people.umass.edu/partee/NZ_2006/Set%20Theory%20Basics.pdf</w:t>
        </w:r>
      </w:hyperlink>
      <w:r>
        <w:t xml:space="preserve">.</w:t>
      </w:r>
    </w:p>
    <w:p>
      <w:pPr>
        <w:pStyle w:val="Bibliography"/>
      </w:pPr>
      <w:r>
        <w:t xml:space="preserve">Rosen, K H. 1988. “Languages and Grammars”. In</w:t>
      </w:r>
      <w:r>
        <w:t xml:space="preserve"> </w:t>
      </w:r>
      <w:r>
        <w:rPr>
          <w:i/>
        </w:rPr>
        <w:t xml:space="preserve">Discrete Mathematics and its Applications</w:t>
      </w:r>
      <w:r>
        <w:t xml:space="preserve">. New York, 552–563.</w:t>
      </w:r>
      <w:r>
        <w:t xml:space="preserve"> </w:t>
      </w:r>
      <w:hyperlink r:id="rId82">
        <w:r>
          <w:rPr>
            <w:rStyle w:val="Hyperlink"/>
          </w:rPr>
          <w:t xml:space="preserve">https://uofi.box.com/s/nomrry0e4cone88xvnciaf14gg93t68h</w:t>
        </w:r>
      </w:hyperlink>
      <w:r>
        <w:t xml:space="preserve">.</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83">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4">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5">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0a8f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916d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79d44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79" Target="http://arxiv.org/abs/1201.4089" TargetMode="External" /><Relationship Type="http://schemas.openxmlformats.org/officeDocument/2006/relationships/hyperlink" Id="rId85"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8" Target="http://doi.acm.org.proxy2.library.illinois.edu/10.1145/358024.358054" TargetMode="External" /><Relationship Type="http://schemas.openxmlformats.org/officeDocument/2006/relationships/hyperlink" Id="rId83" Target="http://dx.doi.org/10.1007/978-3-319-12742-2_1" TargetMode="External" /><Relationship Type="http://schemas.openxmlformats.org/officeDocument/2006/relationships/hyperlink" Id="rId84" Target="http://dx.doi.org/10.1007/978-3-319-12742-2_4" TargetMode="External" /><Relationship Type="http://schemas.openxmlformats.org/officeDocument/2006/relationships/hyperlink" Id="rId81" Target="http://people.umass.edu/partee/NZ_2006/Set%20Theory%20Basics.pdf"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4" Target="http://www.logicinaction.org/docs/ch2.pdf"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53" Target="https://owl.english.purdue.edu/owl/resource/652/1/" TargetMode="External" /><Relationship Type="http://schemas.openxmlformats.org/officeDocument/2006/relationships/hyperlink" Id="rId77" Target="https://uofi.box.com/s/jckt75igz7p4we1yaaoub64f54t8na1c" TargetMode="External" /><Relationship Type="http://schemas.openxmlformats.org/officeDocument/2006/relationships/hyperlink" Id="rId73" Target="https://uofi.box.com/s/lfqsrzjkhzdzml9d2g5w0ndtyvn0ndom" TargetMode="External" /><Relationship Type="http://schemas.openxmlformats.org/officeDocument/2006/relationships/hyperlink" Id="rId82" Target="https://uofi.box.com/s/nomrry0e4cone88xvnciaf14gg93t68h" TargetMode="External" /><Relationship Type="http://schemas.openxmlformats.org/officeDocument/2006/relationships/hyperlink" Id="rId80"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79" Target="http://arxiv.org/abs/1201.4089" TargetMode="External" /><Relationship Type="http://schemas.openxmlformats.org/officeDocument/2006/relationships/hyperlink" Id="rId85"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8" Target="http://doi.acm.org.proxy2.library.illinois.edu/10.1145/358024.358054" TargetMode="External" /><Relationship Type="http://schemas.openxmlformats.org/officeDocument/2006/relationships/hyperlink" Id="rId83" Target="http://dx.doi.org/10.1007/978-3-319-12742-2_1" TargetMode="External" /><Relationship Type="http://schemas.openxmlformats.org/officeDocument/2006/relationships/hyperlink" Id="rId84" Target="http://dx.doi.org/10.1007/978-3-319-12742-2_4" TargetMode="External" /><Relationship Type="http://schemas.openxmlformats.org/officeDocument/2006/relationships/hyperlink" Id="rId81" Target="http://people.umass.edu/partee/NZ_2006/Set%20Theory%20Basics.pdf"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4" Target="http://www.logicinaction.org/docs/ch2.pdf"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53" Target="https://owl.english.purdue.edu/owl/resource/652/1/" TargetMode="External" /><Relationship Type="http://schemas.openxmlformats.org/officeDocument/2006/relationships/hyperlink" Id="rId77" Target="https://uofi.box.com/s/jckt75igz7p4we1yaaoub64f54t8na1c" TargetMode="External" /><Relationship Type="http://schemas.openxmlformats.org/officeDocument/2006/relationships/hyperlink" Id="rId73" Target="https://uofi.box.com/s/lfqsrzjkhzdzml9d2g5w0ndtyvn0ndom" TargetMode="External" /><Relationship Type="http://schemas.openxmlformats.org/officeDocument/2006/relationships/hyperlink" Id="rId82" Target="https://uofi.box.com/s/nomrry0e4cone88xvnciaf14gg93t68h" TargetMode="External" /><Relationship Type="http://schemas.openxmlformats.org/officeDocument/2006/relationships/hyperlink" Id="rId80"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