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Wed,</w:t>
      </w:r>
      <w:r>
        <w:t xml:space="preserve"> </w:t>
      </w:r>
      <w:r>
        <w:t xml:space="preserve">May</w:t>
      </w:r>
      <w:r>
        <w:t xml:space="preserve"> </w:t>
      </w:r>
      <w:r>
        <w:t xml:space="preserve">31,</w:t>
      </w:r>
      <w:r>
        <w:t xml:space="preserve"> </w:t>
      </w:r>
      <w:r>
        <w:t xml:space="preserve">2017</w:t>
      </w:r>
      <w:r>
        <w:t xml:space="preserve"> </w:t>
      </w:r>
      <w:r>
        <w:t xml:space="preserve">9:10:04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LIS561-LE</w:t>
      </w:r>
      <w:r>
        <w:br w:type="textWrapping"/>
      </w:r>
      <w:r>
        <w:t xml:space="preserve">Spring 2017</w:t>
      </w:r>
      <w:r>
        <w:br w:type="textWrapping"/>
      </w:r>
      <w:r>
        <w:t xml:space="preserve">Mondays, 5:30-7:30 PM, online</w:t>
      </w:r>
      <w:r>
        <w:br w:type="textWrapping"/>
      </w:r>
      <w:r>
        <w:t xml:space="preserve">4 GR hours</w:t>
      </w:r>
    </w:p>
    <w:p>
      <w:pPr>
        <w:pStyle w:val="BodyText"/>
      </w:pPr>
      <w:r>
        <w:t xml:space="preserve">Instructor: David Dubin</w:t>
      </w:r>
      <w:r>
        <w:br w:type="textWrapping"/>
      </w:r>
      <w:r>
        <w:t xml:space="preserve">Email: ddubin@illinois.edu</w:t>
      </w:r>
      <w:r>
        <w:br w:type="textWrapping"/>
      </w:r>
      <w:r>
        <w:t xml:space="preserve">Office: LIS 330</w:t>
      </w:r>
      <w:r>
        <w:br w:type="textWrapping"/>
      </w:r>
      <w:r>
        <w:t xml:space="preserve">Office Hour: Tuesdays, 3-5pm and by appointment</w:t>
      </w:r>
      <w:r>
        <w:br w:type="textWrapping"/>
      </w:r>
      <w:r>
        <w:t xml:space="preserve">Phone: (217) 244-3275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FirstParagraph"/>
      </w:pPr>
      <w:r>
        <w:t xml:space="preserve">An introduction to the foundations of information modeling methods</w:t>
      </w:r>
      <w:r>
        <w:t xml:space="preserve"> </w:t>
      </w:r>
      <w:r>
        <w:t xml:space="preserve">used in current information management applications. The specific methods</w:t>
      </w:r>
      <w:r>
        <w:t xml:space="preserve"> </w:t>
      </w:r>
      <w:r>
        <w:t xml:space="preserve">considered include relational database design, conceptual modeling,</w:t>
      </w:r>
      <w:r>
        <w:t xml:space="preserve"> </w:t>
      </w:r>
      <w:r>
        <w:t xml:space="preserve">and ontologies. The basic concepts underlying these</w:t>
      </w:r>
      <w:r>
        <w:t xml:space="preserve"> </w:t>
      </w:r>
      <w:r>
        <w:t xml:space="preserve">methods are sets, relations, entities, and</w:t>
      </w:r>
      <w:r>
        <w:t xml:space="preserve"> </w:t>
      </w:r>
      <w:r>
        <w:t xml:space="preserve">logics. Applications considered include relational database design</w:t>
      </w:r>
      <w:r>
        <w:t xml:space="preserve"> </w:t>
      </w:r>
      <w:r>
        <w:t xml:space="preserve">and RDF/OWL semantic web languages. Set theory and logic are emphasized as the</w:t>
      </w:r>
      <w:r>
        <w:t xml:space="preserve"> </w:t>
      </w:r>
      <w:r>
        <w:t xml:space="preserve">foundational frameworks for information modeling in general, and for</w:t>
      </w:r>
      <w:r>
        <w:t xml:space="preserve"> </w:t>
      </w:r>
      <w:r>
        <w:t xml:space="preserve">contemporary web-based information management and delivery systems</w:t>
      </w:r>
      <w:r>
        <w:t xml:space="preserve"> </w:t>
      </w:r>
      <w:r>
        <w:t xml:space="preserve">(including semantic web technologies) in particular.</w:t>
      </w:r>
    </w:p>
    <w:p>
      <w:pPr>
        <w:pStyle w:val="Heading2"/>
      </w:pPr>
      <w:bookmarkStart w:id="22" w:name="pre--and-co-requisites"/>
      <w:bookmarkEnd w:id="22"/>
      <w:r>
        <w:t xml:space="preserve">Pre- and Co-requisites</w:t>
      </w:r>
    </w:p>
    <w:p>
      <w:pPr>
        <w:pStyle w:val="FirstParagraph"/>
      </w:pPr>
      <w:r>
        <w:t xml:space="preserve">None.</w:t>
      </w:r>
    </w:p>
    <w:p>
      <w:pPr>
        <w:pStyle w:val="Heading1"/>
      </w:pPr>
      <w:bookmarkStart w:id="23" w:name="course-overview"/>
      <w:bookmarkEnd w:id="23"/>
      <w:r>
        <w:t xml:space="preserve">Course Overview</w:t>
      </w:r>
    </w:p>
    <w:p>
      <w:pPr>
        <w:pStyle w:val="FirstParagraph"/>
      </w:pPr>
      <w:r>
        <w:t xml:space="preserve">Two sorts of students are anticipated and the course</w:t>
      </w:r>
      <w:r>
        <w:t xml:space="preserve"> </w:t>
      </w:r>
      <w:r>
        <w:t xml:space="preserve">objectives are similar but slightly different for each group. In</w:t>
      </w:r>
      <w:r>
        <w:t xml:space="preserve"> </w:t>
      </w:r>
      <w:r>
        <w:t xml:space="preserve">neither case is prior relevant knowledge assumed.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generalist responsibilities</w:t>
      </w:r>
      <w:r>
        <w:t xml:space="preserve"> </w:t>
      </w:r>
      <w:r>
        <w:t xml:space="preserve">(as directors, managers, general staff, etc.) to be effective</w:t>
      </w:r>
      <w:r>
        <w:t xml:space="preserve"> </w:t>
      </w:r>
      <w:r>
        <w:t xml:space="preserve">leaders in making decisions about the design, development, and</w:t>
      </w:r>
      <w:r>
        <w:t xml:space="preserve"> </w:t>
      </w:r>
      <w:r>
        <w:t xml:space="preserve">evaluation of information systems, services, and policies, helping</w:t>
      </w:r>
      <w:r>
        <w:t xml:space="preserve"> </w:t>
      </w:r>
      <w:r>
        <w:t xml:space="preserve">their organizations and communities deal with all aspects of the</w:t>
      </w:r>
      <w:r>
        <w:t xml:space="preserve"> </w:t>
      </w:r>
      <w:r>
        <w:t xml:space="preserve">difficult technology challenges ahead.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careers as technology</w:t>
      </w:r>
      <w:r>
        <w:t xml:space="preserve"> </w:t>
      </w:r>
      <w:r>
        <w:t xml:space="preserve">specialists to efficiently acquire and maintain superior information</w:t>
      </w:r>
      <w:r>
        <w:t xml:space="preserve"> </w:t>
      </w:r>
      <w:r>
        <w:t xml:space="preserve">modeling skills throughout their careers and to play leadership</w:t>
      </w:r>
      <w:r>
        <w:t xml:space="preserve"> </w:t>
      </w:r>
      <w:r>
        <w:t xml:space="preserve">roles in the design, development, and evaluation of information</w:t>
      </w:r>
      <w:r>
        <w:t xml:space="preserve"> </w:t>
      </w:r>
      <w:r>
        <w:t xml:space="preserve">systems, services, and policies.</w:t>
      </w:r>
    </w:p>
    <w:p>
      <w:pPr>
        <w:pStyle w:val="FirstParagraph"/>
      </w:pPr>
      <w:r>
        <w:t xml:space="preserve">Consistent with the iSchool goal of producing leaders and not just</w:t>
      </w:r>
      <w:r>
        <w:t xml:space="preserve"> </w:t>
      </w:r>
      <w:r>
        <w:t xml:space="preserve">competent professionals we focus on developing a deep understanding</w:t>
      </w:r>
      <w:r>
        <w:t xml:space="preserve"> </w:t>
      </w:r>
      <w:r>
        <w:t xml:space="preserve">that will have long-term benefits and prepare students to engage the</w:t>
      </w:r>
      <w:r>
        <w:t xml:space="preserve"> </w:t>
      </w:r>
      <w:r>
        <w:t xml:space="preserve">hardest problems facing organizations and society.</w:t>
      </w:r>
    </w:p>
    <w:p>
      <w:pPr>
        <w:pStyle w:val="BodyText"/>
      </w:pPr>
      <w:r>
        <w:t xml:space="preserve">Of course LIS561 alone cannot fully realize these objectives; it</w:t>
      </w:r>
      <w:r>
        <w:t xml:space="preserve"> </w:t>
      </w:r>
      <w:r>
        <w:t xml:space="preserve">makes a partial contribution, focusing on the principles and concepts</w:t>
      </w:r>
      <w:r>
        <w:t xml:space="preserve"> </w:t>
      </w:r>
      <w:r>
        <w:t xml:space="preserve">of information modeling. A partial contribution, but a necessary one:</w:t>
      </w:r>
      <w:r>
        <w:t xml:space="preserve"> </w:t>
      </w:r>
      <w:r>
        <w:t xml:space="preserve">the connection between a deep understanding of information modeling</w:t>
      </w:r>
      <w:r>
        <w:t xml:space="preserve"> </w:t>
      </w:r>
      <w:r>
        <w:t xml:space="preserve">concepts and the challenging information management problems facing us</w:t>
      </w:r>
      <w:r>
        <w:t xml:space="preserve"> </w:t>
      </w:r>
      <w:r>
        <w:t xml:space="preserve">today is profound.</w:t>
      </w:r>
    </w:p>
    <w:p>
      <w:pPr>
        <w:pStyle w:val="Heading2"/>
      </w:pPr>
      <w:bookmarkStart w:id="24" w:name="strategy"/>
      <w:bookmarkEnd w:id="24"/>
      <w:r>
        <w:t xml:space="preserve">Strategy</w:t>
      </w:r>
    </w:p>
    <w:p>
      <w:pPr>
        <w:pStyle w:val="FirstParagraph"/>
      </w:pPr>
      <w:r>
        <w:t xml:space="preserve">The course examines the major modeling approaches currently</w:t>
      </w:r>
      <w:r>
        <w:t xml:space="preserve"> </w:t>
      </w:r>
      <w:r>
        <w:t xml:space="preserve">in use in information management: relational modeling, conceptual</w:t>
      </w:r>
      <w:r>
        <w:t xml:space="preserve"> </w:t>
      </w:r>
      <w:r>
        <w:t xml:space="preserve">modeling, and ontologies, focusing on underlying concepts</w:t>
      </w:r>
      <w:r>
        <w:t xml:space="preserve"> </w:t>
      </w:r>
      <w:r>
        <w:t xml:space="preserve">and principles. The course is thus simultaneously a foundations course</w:t>
      </w:r>
      <w:r>
        <w:t xml:space="preserve"> </w:t>
      </w:r>
      <w:r>
        <w:t xml:space="preserve">and a survey course.</w:t>
      </w:r>
    </w:p>
    <w:p>
      <w:pPr>
        <w:pStyle w:val="Heading2"/>
      </w:pPr>
      <w:bookmarkStart w:id="25" w:name="learning-objectives"/>
      <w:bookmarkEnd w:id="25"/>
      <w: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Develop fluency in reading and understanding formal definitions.</w:t>
      </w:r>
    </w:p>
    <w:p>
      <w:pPr>
        <w:pStyle w:val="Compact"/>
        <w:numPr>
          <w:numId w:val="1002"/>
          <w:ilvl w:val="0"/>
        </w:numPr>
      </w:pPr>
      <w:r>
        <w:t xml:space="preserve">Understand the role of abstraction in making systems design choices.</w:t>
      </w:r>
    </w:p>
    <w:p>
      <w:pPr>
        <w:pStyle w:val="Compact"/>
        <w:numPr>
          <w:numId w:val="1002"/>
          <w:ilvl w:val="0"/>
        </w:numPr>
      </w:pPr>
      <w:r>
        <w:t xml:space="preserve">Contrast deep vs. superficial differences in modeling languages.</w:t>
      </w:r>
    </w:p>
    <w:p>
      <w:pPr>
        <w:pStyle w:val="Compact"/>
        <w:numPr>
          <w:numId w:val="1002"/>
          <w:ilvl w:val="0"/>
        </w:numPr>
      </w:pPr>
      <w:r>
        <w:t xml:space="preserve">Recognize practical implications of trading expressive power for tractability.</w:t>
      </w:r>
    </w:p>
    <w:p>
      <w:pPr>
        <w:pStyle w:val="Compact"/>
        <w:numPr>
          <w:numId w:val="1002"/>
          <w:ilvl w:val="0"/>
        </w:numPr>
      </w:pPr>
      <w:r>
        <w:t xml:space="preserve">Appreciate the fundamental role of a very small set of inter-related concepts.</w:t>
      </w:r>
    </w:p>
    <w:p>
      <w:pPr>
        <w:pStyle w:val="Heading1"/>
      </w:pPr>
      <w:bookmarkStart w:id="26" w:name="course-materials"/>
      <w:bookmarkEnd w:id="26"/>
      <w:r>
        <w:t xml:space="preserve">Course Materials</w:t>
      </w:r>
    </w:p>
    <w:p>
      <w:pPr>
        <w:pStyle w:val="FirstParagraph"/>
      </w:pPr>
      <w:r>
        <w:t xml:space="preserve">All required readings for this class are available online. They</w:t>
      </w:r>
      <w:r>
        <w:t xml:space="preserve"> </w:t>
      </w:r>
      <w:r>
        <w:t xml:space="preserve">are listed in the references section at the end of this syllabus.</w:t>
      </w:r>
    </w:p>
    <w:p>
      <w:pPr>
        <w:pStyle w:val="Heading1"/>
      </w:pPr>
      <w:bookmarkStart w:id="27" w:name="about-dave-dubin"/>
      <w:bookmarkEnd w:id="27"/>
      <w:r>
        <w:t xml:space="preserve">About Dave Dubin</w:t>
      </w:r>
    </w:p>
    <w:p>
      <w:pPr>
        <w:pStyle w:val="FirstParagraph"/>
      </w:pPr>
      <w:r>
        <w:t xml:space="preserve">David Dubin is a Research Associate Professor at the School of Information Sciences. His research explores the foundations of</w:t>
      </w:r>
      <w:r>
        <w:t xml:space="preserve"> </w:t>
      </w:r>
      <w:r>
        <w:t xml:space="preserve">information representation and description as well as issues of expression and encoding in documents and</w:t>
      </w:r>
      <w:r>
        <w:t xml:space="preserve"> </w:t>
      </w:r>
      <w:r>
        <w:t xml:space="preserve">digital information resources.</w:t>
      </w:r>
    </w:p>
    <w:p>
      <w:pPr>
        <w:pStyle w:val="Heading1"/>
      </w:pPr>
      <w:bookmarkStart w:id="28" w:name="library-resources"/>
      <w:bookmarkEnd w:id="28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29" w:name="writing-and-bibliographic-style-resources"/>
      <w:bookmarkEnd w:id="29"/>
      <w:r>
        <w:t xml:space="preserve">Writing and Bibliographic Style Resources</w:t>
      </w:r>
    </w:p>
    <w:p>
      <w:pPr>
        <w:pStyle w:val="FirstParagraph"/>
      </w:pPr>
      <w:r>
        <w:t xml:space="preserve">The iSchool has a Writing Resources Moodle site</w:t>
      </w:r>
      <w:r>
        <w:t xml:space="preserve"> </w:t>
      </w:r>
      <w:hyperlink r:id="rId30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 We highly recommend this!</w:t>
      </w:r>
    </w:p>
    <w:p>
      <w:pPr>
        <w:pStyle w:val="BodyText"/>
      </w:pPr>
      <w:r>
        <w:t xml:space="preserve">The campus-wide Writers Workshop also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1">
        <w:r>
          <w:rPr>
            <w:rStyle w:val="Hyperlink"/>
          </w:rPr>
          <w:t xml:space="preserve">http://www.cws.illinois.edu/workshop/</w:t>
        </w:r>
      </w:hyperlink>
    </w:p>
    <w:p>
      <w:pPr>
        <w:pStyle w:val="Heading1"/>
      </w:pPr>
      <w:bookmarkStart w:id="32" w:name="academic-integrity"/>
      <w:bookmarkEnd w:id="32"/>
      <w:r>
        <w:t xml:space="preserve">Academic Integrity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3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4" w:name="statement-of-inclusion"/>
      <w:bookmarkEnd w:id="34"/>
      <w:r>
        <w:t xml:space="preserve">Statement of Inclusion</w:t>
      </w:r>
    </w:p>
    <w:p>
      <w:pPr>
        <w:pStyle w:val="FirstParagraph"/>
      </w:pPr>
      <w:hyperlink r:id="rId35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6" w:name="accessibility-statement"/>
      <w:bookmarkEnd w:id="36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7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2"/>
      </w:pPr>
      <w:bookmarkStart w:id="38" w:name="emergency-response-run-hide-fight"/>
      <w:bookmarkEnd w:id="38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39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40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1"/>
      </w:pPr>
      <w:bookmarkStart w:id="41" w:name="assignments-and-evaluation"/>
      <w:bookmarkEnd w:id="41"/>
      <w:r>
        <w:t xml:space="preserve">Assignments and Evaluation</w:t>
      </w:r>
    </w:p>
    <w:p>
      <w:pPr>
        <w:pStyle w:val="FirstParagraph"/>
      </w:pPr>
      <w:r>
        <w:t xml:space="preserve">All assignments are required for all students. All work must be</w:t>
      </w:r>
      <w:r>
        <w:t xml:space="preserve"> </w:t>
      </w:r>
      <w:r>
        <w:t xml:space="preserve">completed in order to pass this class. Late or incomplete assignments</w:t>
      </w:r>
      <w:r>
        <w:t xml:space="preserve"> </w:t>
      </w:r>
      <w:r>
        <w:t xml:space="preserve">will not be given full credit unless the student has contacted the</w:t>
      </w:r>
      <w:r>
        <w:t xml:space="preserve"> </w:t>
      </w:r>
      <w:r>
        <w:t xml:space="preserve">instructor prior to the due date of the assignment (or in the case of</w:t>
      </w:r>
      <w:r>
        <w:t xml:space="preserve"> </w:t>
      </w:r>
      <w:r>
        <w:t xml:space="preserve">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Eleven graded assignments (due 1 hour before class meeting in the week they are due): 5 points each (55 points total).</w:t>
      </w:r>
    </w:p>
    <w:p>
      <w:pPr>
        <w:pStyle w:val="Compact"/>
        <w:numPr>
          <w:numId w:val="1003"/>
          <w:ilvl w:val="0"/>
        </w:numPr>
      </w:pPr>
      <w:r>
        <w:t xml:space="preserve">Eleven ungraded exercises (due 25 hours before class meeting in the week they are due): 2 points each for completion (22 points total).</w:t>
      </w:r>
    </w:p>
    <w:p>
      <w:pPr>
        <w:pStyle w:val="Compact"/>
        <w:numPr>
          <w:numId w:val="1003"/>
          <w:ilvl w:val="0"/>
        </w:numPr>
      </w:pPr>
      <w:r>
        <w:t xml:space="preserve">Four reading responses: 5 points each (20 points total).</w:t>
      </w:r>
    </w:p>
    <w:p>
      <w:pPr>
        <w:pStyle w:val="Compact"/>
        <w:numPr>
          <w:numId w:val="1003"/>
          <w:ilvl w:val="0"/>
        </w:numPr>
      </w:pPr>
      <w:r>
        <w:t xml:space="preserve">Attendance and participation in class and on forums: 3 points.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BodyText"/>
      </w:pPr>
      <w:r>
        <w:rPr>
          <w:b/>
        </w:rPr>
        <w:t xml:space="preserve">Reading Responses</w:t>
      </w:r>
    </w:p>
    <w:p>
      <w:pPr>
        <w:pStyle w:val="BodyText"/>
      </w:pPr>
      <w:r>
        <w:t xml:space="preserve">Up to twenty points are available for four critical questions</w:t>
      </w:r>
      <w:r>
        <w:t xml:space="preserve"> </w:t>
      </w:r>
      <w:r>
        <w:t xml:space="preserve">posted to the class discussion forum and identified in the subject</w:t>
      </w:r>
      <w:r>
        <w:t xml:space="preserve"> </w:t>
      </w:r>
      <w:r>
        <w:t xml:space="preserve">line as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together with a topic description. Critical questions are carefully worded</w:t>
      </w:r>
      <w:r>
        <w:t xml:space="preserve"> </w:t>
      </w:r>
      <w:r>
        <w:t xml:space="preserve">descriptions of an obstacle to understanding and applying concepts and</w:t>
      </w:r>
      <w:r>
        <w:t xml:space="preserve"> </w:t>
      </w:r>
      <w:r>
        <w:t xml:space="preserve">methods covered in the assigned readings. These need to be more than</w:t>
      </w:r>
      <w:r>
        <w:t xml:space="preserve"> </w:t>
      </w:r>
      <w:r>
        <w:t xml:space="preserve">a simple request for clarifying a term or idea. Each question should be</w:t>
      </w:r>
      <w:r>
        <w:t xml:space="preserve"> </w:t>
      </w:r>
      <w:r>
        <w:t xml:space="preserve">one to three paragraphs in length, and should include:</w:t>
      </w:r>
    </w:p>
    <w:p>
      <w:pPr>
        <w:pStyle w:val="Compact"/>
        <w:numPr>
          <w:numId w:val="1004"/>
          <w:ilvl w:val="0"/>
        </w:numPr>
      </w:pPr>
      <w:r>
        <w:t xml:space="preserve">A one sentence summary of the question (citing the location of the anomalous passage in the reading);</w:t>
      </w:r>
    </w:p>
    <w:p>
      <w:pPr>
        <w:pStyle w:val="Compact"/>
        <w:numPr>
          <w:numId w:val="1004"/>
          <w:ilvl w:val="0"/>
        </w:numPr>
      </w:pPr>
      <w:r>
        <w:t xml:space="preserve">A longer, lucid explanation of the question and the obstacle that it identifies;</w:t>
      </w:r>
    </w:p>
    <w:p>
      <w:pPr>
        <w:pStyle w:val="Compact"/>
        <w:numPr>
          <w:numId w:val="1004"/>
          <w:ilvl w:val="0"/>
        </w:numPr>
      </w:pPr>
      <w:r>
        <w:t xml:space="preserve">A justification for why the question is important;</w:t>
      </w:r>
    </w:p>
    <w:p>
      <w:pPr>
        <w:pStyle w:val="Compact"/>
        <w:numPr>
          <w:numId w:val="1004"/>
          <w:ilvl w:val="0"/>
        </w:numPr>
      </w:pPr>
      <w:r>
        <w:t xml:space="preserve">Some remarks on the context in which the question arose: how did you recognize that it was a problem?</w:t>
      </w:r>
    </w:p>
    <w:p>
      <w:pPr>
        <w:pStyle w:val="Heading1"/>
      </w:pPr>
      <w:bookmarkStart w:id="42" w:name="topic-schedule"/>
      <w:bookmarkEnd w:id="42"/>
      <w:r>
        <w:t xml:space="preserve">Topic Schedule</w:t>
      </w:r>
    </w:p>
    <w:p>
      <w:pPr>
        <w:pStyle w:val="Heading3"/>
      </w:pPr>
      <w:bookmarkStart w:id="43" w:name="week-2-january-23-models-and-domains"/>
      <w:bookmarkEnd w:id="43"/>
      <w:r>
        <w:t xml:space="preserve">Week 2: January 23: Models and Domains</w:t>
      </w:r>
    </w:p>
    <w:p>
      <w:pPr>
        <w:pStyle w:val="Heading3"/>
      </w:pPr>
      <w:bookmarkStart w:id="44" w:name="week-3-january-30-propositional-logic"/>
      <w:bookmarkEnd w:id="44"/>
      <w:r>
        <w:t xml:space="preserve">Week 3: January 30: Propositional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2014a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</w:t>
      </w:r>
      <w:r>
        <w:t xml:space="preserve">, SVG diagram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</w:t>
      </w:r>
      <w:r>
        <w:t xml:space="preserve">, Propositional logic exercise</w:t>
      </w:r>
    </w:p>
    <w:p>
      <w:pPr>
        <w:pStyle w:val="Heading3"/>
      </w:pPr>
      <w:bookmarkStart w:id="45" w:name="week-4-february-06-predicate-logic"/>
      <w:bookmarkEnd w:id="45"/>
      <w:r>
        <w:t xml:space="preserve">Week 4: February 06: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2</w:t>
      </w:r>
      <w:r>
        <w:t xml:space="preserve">, Predicate logic exercise 1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2</w:t>
      </w:r>
      <w:r>
        <w:t xml:space="preserve">, Propositional logic assignment</w:t>
      </w:r>
    </w:p>
    <w:p>
      <w:pPr>
        <w:pStyle w:val="Heading3"/>
      </w:pPr>
      <w:bookmarkStart w:id="46" w:name="week-5-february-13-predicate-logic"/>
      <w:bookmarkEnd w:id="46"/>
      <w:r>
        <w:t xml:space="preserve">Week 5: February 13: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3</w:t>
      </w:r>
      <w:r>
        <w:t xml:space="preserve">, Predicate logic exercise 2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3</w:t>
      </w:r>
      <w:r>
        <w:t xml:space="preserve">, Predicate logic assignment</w:t>
      </w:r>
    </w:p>
    <w:p>
      <w:pPr>
        <w:pStyle w:val="Heading3"/>
      </w:pPr>
      <w:bookmarkStart w:id="47" w:name="week-6-february-20-sets-relations-and-functions"/>
      <w:bookmarkEnd w:id="47"/>
      <w:r>
        <w:t xml:space="preserve">Week 6: February 20: Sets, relations, and functions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Partee 2006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4</w:t>
      </w:r>
      <w:r>
        <w:t xml:space="preserve">, Set theory exercise</w:t>
      </w:r>
    </w:p>
    <w:p>
      <w:pPr>
        <w:pStyle w:val="Heading3"/>
      </w:pPr>
      <w:bookmarkStart w:id="48" w:name="week-7-february-27-uml-and-relational-modeling"/>
      <w:bookmarkEnd w:id="48"/>
      <w:r>
        <w:t xml:space="preserve">Week 7: February 27: UML and relational modeling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Seidl et al. 2015; Teorey et al. 1986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5</w:t>
      </w:r>
      <w:r>
        <w:t xml:space="preserve">, UML class diagram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4</w:t>
      </w:r>
      <w:r>
        <w:t xml:space="preserve">, Set theory assignment</w:t>
      </w:r>
    </w:p>
    <w:p>
      <w:pPr>
        <w:pStyle w:val="Heading3"/>
      </w:pPr>
      <w:bookmarkStart w:id="49" w:name="week-8-march-06-normal-forms-and-normalization"/>
      <w:bookmarkEnd w:id="49"/>
      <w:r>
        <w:t xml:space="preserve">Week 8: March 06: Normal forms and normalization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Kent 1983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6</w:t>
      </w:r>
      <w:r>
        <w:t xml:space="preserve">, Relational modeling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5</w:t>
      </w:r>
      <w:r>
        <w:t xml:space="preserve">, UML class diagram assignment</w:t>
      </w:r>
    </w:p>
    <w:p>
      <w:pPr>
        <w:pStyle w:val="Heading3"/>
      </w:pPr>
      <w:bookmarkStart w:id="50" w:name="week-9-march-13-syntax-and-grammar"/>
      <w:bookmarkEnd w:id="50"/>
      <w:r>
        <w:t xml:space="preserve">Week 9: March 13: Syntax and Grammar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Rosen 1988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7</w:t>
      </w:r>
      <w:r>
        <w:t xml:space="preserve">, Formal grammar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6</w:t>
      </w:r>
      <w:r>
        <w:t xml:space="preserve">, Relational modeling assignment</w:t>
      </w:r>
    </w:p>
    <w:p>
      <w:pPr>
        <w:pStyle w:val="Heading3"/>
      </w:pPr>
      <w:bookmarkStart w:id="51" w:name="week-10-spring-break-march-20"/>
      <w:bookmarkEnd w:id="51"/>
      <w:r>
        <w:t xml:space="preserve">Week 10: Spring Break: March 20:</w:t>
      </w:r>
    </w:p>
    <w:p>
      <w:pPr>
        <w:pStyle w:val="Heading3"/>
      </w:pPr>
      <w:bookmarkStart w:id="52" w:name="week-11-march-27-semantics-and-interpretation"/>
      <w:bookmarkEnd w:id="52"/>
      <w:r>
        <w:t xml:space="preserve">Week 11: March 27: Semantics and Interpretation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Bach 1989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7</w:t>
      </w:r>
      <w:r>
        <w:t xml:space="preserve">, Formal grammar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8</w:t>
      </w:r>
      <w:r>
        <w:t xml:space="preserve">, Formal semantics exercise</w:t>
      </w:r>
    </w:p>
    <w:p>
      <w:pPr>
        <w:pStyle w:val="Heading3"/>
      </w:pPr>
      <w:bookmarkStart w:id="53" w:name="week-12-april-03-the-rdf-model-and-language"/>
      <w:bookmarkEnd w:id="53"/>
      <w:r>
        <w:t xml:space="preserve">Week 12: April 03: The RDF model and language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9</w:t>
      </w:r>
      <w:r>
        <w:t xml:space="preserve">, RDF description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8</w:t>
      </w:r>
      <w:r>
        <w:t xml:space="preserve">, Formal semantics assignment</w:t>
      </w:r>
    </w:p>
    <w:p>
      <w:pPr>
        <w:pStyle w:val="Heading3"/>
      </w:pPr>
      <w:bookmarkStart w:id="54" w:name="week-13-april-10-description-logics"/>
      <w:bookmarkEnd w:id="54"/>
      <w:r>
        <w:t xml:space="preserve">Week 13: April 10: Description Logics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Krötzsch et al. 2012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9</w:t>
      </w:r>
      <w:r>
        <w:t xml:space="preserve">, RDF description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10</w:t>
      </w:r>
      <w:r>
        <w:t xml:space="preserve">, Description logic exercise</w:t>
      </w:r>
    </w:p>
    <w:p>
      <w:pPr>
        <w:pStyle w:val="Heading3"/>
      </w:pPr>
      <w:bookmarkStart w:id="55" w:name="week-14-april-17-ontologies"/>
      <w:bookmarkEnd w:id="55"/>
      <w:r>
        <w:t xml:space="preserve">Week 14: April 17: Ontologies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Hitzler et al. 2012; 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11</w:t>
      </w:r>
      <w:r>
        <w:t xml:space="preserve">, OWL ontology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10</w:t>
      </w:r>
      <w:r>
        <w:t xml:space="preserve">, Description logic assignment</w:t>
      </w:r>
    </w:p>
    <w:p>
      <w:pPr>
        <w:pStyle w:val="Heading3"/>
      </w:pPr>
      <w:bookmarkStart w:id="56" w:name="week-15-april-24-looking-ahead"/>
      <w:bookmarkEnd w:id="56"/>
      <w:r>
        <w:t xml:space="preserve">Week 15: April 24: Looking Ahead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11</w:t>
      </w:r>
      <w:r>
        <w:t xml:space="preserve">, OWL ontology assignment</w:t>
      </w:r>
    </w:p>
    <w:p>
      <w:pPr>
        <w:pStyle w:val="Heading3"/>
      </w:pPr>
      <w:bookmarkStart w:id="57" w:name="week-16-may-1-wrapup-and-evaluation"/>
      <w:bookmarkEnd w:id="57"/>
      <w:r>
        <w:t xml:space="preserve">Week 16: May 1: Wrapup and Evaluation</w:t>
      </w:r>
    </w:p>
    <w:p>
      <w:pPr>
        <w:pStyle w:val="Heading1"/>
      </w:pPr>
      <w:bookmarkStart w:id="58" w:name="readings"/>
      <w:bookmarkEnd w:id="58"/>
      <w:r>
        <w:t xml:space="preserve">Readings</w:t>
      </w:r>
    </w:p>
    <w:p>
      <w:pPr>
        <w:pStyle w:val="Bibliography"/>
      </w:pPr>
      <w:r>
        <w:t xml:space="preserve">Bach, E. 1989. “Background and Beginning, Worlds Enough and Time.” In</w:t>
      </w:r>
      <w:r>
        <w:t xml:space="preserve"> </w:t>
      </w:r>
      <w:r>
        <w:rPr>
          <w:i/>
        </w:rPr>
        <w:t xml:space="preserve">Informal Lectures on Formal Semantics</w:t>
      </w:r>
      <w:r>
        <w:t xml:space="preserve">. Albany, NY, 1–32.</w:t>
      </w:r>
      <w:r>
        <w:t xml:space="preserve"> </w:t>
      </w:r>
      <w:hyperlink r:id="rId59">
        <w:r>
          <w:rPr>
            <w:rStyle w:val="Hyperlink"/>
          </w:rPr>
          <w:t xml:space="preserve">https://uofi.box.com/s/lfqsrzjkhzdzml9d2g5w0ndtyvn0ndom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2014a. “Chapter 2: Propositional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2.1–2.37.</w:t>
      </w:r>
      <w:r>
        <w:t xml:space="preserve"> </w:t>
      </w:r>
      <w:hyperlink r:id="rId60">
        <w:r>
          <w:rPr>
            <w:rStyle w:val="Hyperlink"/>
          </w:rPr>
          <w:t xml:space="preserve">http://www.logicinaction.org/docs/ch2.pdf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2014b. “Chapter 4: The World According to Predicate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4.1–4.53.</w:t>
      </w:r>
      <w:r>
        <w:t xml:space="preserve"> </w:t>
      </w:r>
      <w:hyperlink r:id="rId61">
        <w:r>
          <w:rPr>
            <w:rStyle w:val="Hyperlink"/>
          </w:rPr>
          <w:t xml:space="preserve">http://www.logicinaction.org/docs/ch4.pdf</w:t>
        </w:r>
      </w:hyperlink>
      <w:r>
        <w:t xml:space="preserve">.</w:t>
      </w:r>
    </w:p>
    <w:p>
      <w:pPr>
        <w:pStyle w:val="Bibliography"/>
      </w:pPr>
      <w:r>
        <w:t xml:space="preserve">Hitzler, P, Krötzsch, M, Parsia, B, Patel-Schneider, P F, and Rudolph, S. 2012. “OWL 2 Web Ontology Language Primer”.</w:t>
      </w:r>
      <w:r>
        <w:t xml:space="preserve"> </w:t>
      </w:r>
      <w:hyperlink r:id="rId62">
        <w:r>
          <w:rPr>
            <w:rStyle w:val="Hyperlink"/>
          </w:rPr>
          <w:t xml:space="preserve">http://www.w3.org/TR/owl2-primer/</w:t>
        </w:r>
      </w:hyperlink>
      <w:r>
        <w:t xml:space="preserve">.</w:t>
      </w:r>
    </w:p>
    <w:p>
      <w:pPr>
        <w:pStyle w:val="Bibliography"/>
      </w:pPr>
      <w:r>
        <w:t xml:space="preserve">Kent, W. 1983. “A Simple Guide to Five Normal Forms in Relational Database Theory”.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26.2, 120–125.</w:t>
      </w:r>
      <w:r>
        <w:t xml:space="preserve"> </w:t>
      </w:r>
      <w:hyperlink r:id="rId63">
        <w:r>
          <w:rPr>
            <w:rStyle w:val="Hyperlink"/>
          </w:rPr>
          <w:t xml:space="preserve">http://doi.acm.org.proxy2.library.illinois.edu/10.1145/358024.358054</w:t>
        </w:r>
      </w:hyperlink>
      <w:r>
        <w:t xml:space="preserve">.</w:t>
      </w:r>
    </w:p>
    <w:p>
      <w:pPr>
        <w:pStyle w:val="Bibliography"/>
      </w:pPr>
      <w:r>
        <w:t xml:space="preserve">Krötzsch, M, Simancík, F, and Horrocks, I. 2012. “A Description Logic Primer”.</w:t>
      </w:r>
      <w:r>
        <w:t xml:space="preserve"> </w:t>
      </w:r>
      <w:r>
        <w:rPr>
          <w:i/>
        </w:rPr>
        <w:t xml:space="preserve">arXiv preprint arXiv:1201.4089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http://arxiv.org/abs/1201.4089</w:t>
        </w:r>
      </w:hyperlink>
      <w:r>
        <w:t xml:space="preserve">.</w:t>
      </w:r>
    </w:p>
    <w:p>
      <w:pPr>
        <w:pStyle w:val="Bibliography"/>
      </w:pPr>
      <w:r>
        <w:t xml:space="preserve">Manola, F, Miller, E, and McBride, B. 2014. “RDF 1.1 Primer”., Cambridge, MA.</w:t>
      </w:r>
      <w:r>
        <w:t xml:space="preserve"> </w:t>
      </w:r>
      <w:hyperlink r:id="rId65">
        <w:r>
          <w:rPr>
            <w:rStyle w:val="Hyperlink"/>
          </w:rPr>
          <w:t xml:space="preserve">https://www.w3.org/TR/2014/NOTE-rdf11-primer-20140624/</w:t>
        </w:r>
      </w:hyperlink>
      <w:r>
        <w:t xml:space="preserve">.</w:t>
      </w:r>
    </w:p>
    <w:p>
      <w:pPr>
        <w:pStyle w:val="Bibliography"/>
      </w:pPr>
      <w:r>
        <w:t xml:space="preserve">Partee, B H. 2006. “Basic Concepts of Set Theory, Functions and Relations”.</w:t>
      </w:r>
      <w:r>
        <w:t xml:space="preserve"> </w:t>
      </w:r>
      <w:hyperlink r:id="rId66">
        <w:r>
          <w:rPr>
            <w:rStyle w:val="Hyperlink"/>
          </w:rPr>
          <w:t xml:space="preserve">http://people.umass.edu/partee/NZ_2006/Set%20Theory%20Basics.pdf</w:t>
        </w:r>
      </w:hyperlink>
      <w:r>
        <w:t xml:space="preserve">.</w:t>
      </w:r>
    </w:p>
    <w:p>
      <w:pPr>
        <w:pStyle w:val="Bibliography"/>
      </w:pPr>
      <w:r>
        <w:t xml:space="preserve">Rosen, K H. 1988. “Languages and Grammars”. In</w:t>
      </w:r>
      <w:r>
        <w:t xml:space="preserve"> </w:t>
      </w:r>
      <w:r>
        <w:rPr>
          <w:i/>
        </w:rPr>
        <w:t xml:space="preserve">Discrete Mathematics and its Applications</w:t>
      </w:r>
      <w:r>
        <w:t xml:space="preserve">. New York, 552–563.</w:t>
      </w:r>
      <w:r>
        <w:t xml:space="preserve"> </w:t>
      </w:r>
      <w:hyperlink r:id="rId67">
        <w:r>
          <w:rPr>
            <w:rStyle w:val="Hyperlink"/>
          </w:rPr>
          <w:t xml:space="preserve">https://uofi.box.com/s/nomrry0e4cone88xvnciaf14gg93t68h</w:t>
        </w:r>
      </w:hyperlink>
      <w:r>
        <w:t xml:space="preserve">.</w:t>
      </w:r>
    </w:p>
    <w:p>
      <w:pPr>
        <w:pStyle w:val="Bibliography"/>
      </w:pPr>
      <w:r>
        <w:t xml:space="preserve">Seidl, M, Scholz, M, Huemer, C, and Kappel, G. 2015. “The Class Diagram”. In</w:t>
      </w:r>
      <w:r>
        <w:t xml:space="preserve"> </w:t>
      </w:r>
      <w:r>
        <w:rPr>
          <w:i/>
        </w:rPr>
        <w:t xml:space="preserve">UML @ Classroom: An Introduction to Object-Oriented Modeling</w:t>
      </w:r>
      <w:r>
        <w:t xml:space="preserve">. Eds. M. Seidl, M. Scholz, C. Huemer, and G. Kappel. Cham, 49–84.</w:t>
      </w:r>
      <w:r>
        <w:t xml:space="preserve"> </w:t>
      </w:r>
      <w:hyperlink r:id="rId68">
        <w:r>
          <w:rPr>
            <w:rStyle w:val="Hyperlink"/>
          </w:rPr>
          <w:t xml:space="preserve">http://dx.doi.org/10.1007/978-3-319-12742-2_4</w:t>
        </w:r>
      </w:hyperlink>
      <w:r>
        <w:t xml:space="preserve">.</w:t>
      </w:r>
    </w:p>
    <w:p>
      <w:pPr>
        <w:pStyle w:val="Bibliography"/>
      </w:pPr>
      <w:r>
        <w:t xml:space="preserve">Teorey, T J, Yang, D, and Fry, J P. 1986. “A logical design methodology for relational databases using the extended entity-relationship model”.</w:t>
      </w:r>
      <w:r>
        <w:t xml:space="preserve"> </w:t>
      </w:r>
      <w:r>
        <w:rPr>
          <w:i/>
        </w:rPr>
        <w:t xml:space="preserve">ACM Comput. Surv.</w:t>
      </w:r>
      <w:r>
        <w:t xml:space="preserve"> </w:t>
      </w:r>
      <w:r>
        <w:t xml:space="preserve">18.2, 197–222.</w:t>
      </w:r>
      <w:r>
        <w:t xml:space="preserve"> </w:t>
      </w:r>
      <w:hyperlink r:id="rId69">
        <w:r>
          <w:rPr>
            <w:rStyle w:val="Hyperlink"/>
          </w:rPr>
          <w:t xml:space="preserve">http://doi.acm.org/10.1145/7474.7475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7d63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fad9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ef98b3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4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3" Target="http://doi.acm.org.proxy2.library.illinois.edu/10.1145/358024.358054" TargetMode="External" /><Relationship Type="http://schemas.openxmlformats.org/officeDocument/2006/relationships/hyperlink" Id="rId69" Target="http://doi.acm.org/10.1145/7474.7475" TargetMode="External" /><Relationship Type="http://schemas.openxmlformats.org/officeDocument/2006/relationships/hyperlink" Id="rId68" Target="http://dx.doi.org/10.1007/978-3-319-12742-2_4" TargetMode="External" /><Relationship Type="http://schemas.openxmlformats.org/officeDocument/2006/relationships/hyperlink" Id="rId66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1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60" Target="http://www.logicinaction.org/docs/ch2.pdf" TargetMode="External" /><Relationship Type="http://schemas.openxmlformats.org/officeDocument/2006/relationships/hyperlink" Id="rId61" Target="http://www.logicinaction.org/docs/ch4.pdf" TargetMode="External" /><Relationship Type="http://schemas.openxmlformats.org/officeDocument/2006/relationships/hyperlink" Id="rId62" Target="http://www.w3.org/TR/owl2-primer/" TargetMode="External" /><Relationship Type="http://schemas.openxmlformats.org/officeDocument/2006/relationships/hyperlink" Id="rId30" Target="https://courses.ischool.illinois.edu/course/view.php?id=1705" TargetMode="External" /><Relationship Type="http://schemas.openxmlformats.org/officeDocument/2006/relationships/hyperlink" Id="rId59" Target="https://uofi.box.com/s/lfqsrzjkhzdzml9d2g5w0ndtyvn0ndom" TargetMode="External" /><Relationship Type="http://schemas.openxmlformats.org/officeDocument/2006/relationships/hyperlink" Id="rId67" Target="https://uofi.box.com/s/nomrry0e4cone88xvnciaf14gg93t68h" TargetMode="External" /><Relationship Type="http://schemas.openxmlformats.org/officeDocument/2006/relationships/hyperlink" Id="rId65" Target="https://www.w3.org/TR/2014/NOTE-rdf11-primer-2014062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4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3" Target="http://doi.acm.org.proxy2.library.illinois.edu/10.1145/358024.358054" TargetMode="External" /><Relationship Type="http://schemas.openxmlformats.org/officeDocument/2006/relationships/hyperlink" Id="rId69" Target="http://doi.acm.org/10.1145/7474.7475" TargetMode="External" /><Relationship Type="http://schemas.openxmlformats.org/officeDocument/2006/relationships/hyperlink" Id="rId68" Target="http://dx.doi.org/10.1007/978-3-319-12742-2_4" TargetMode="External" /><Relationship Type="http://schemas.openxmlformats.org/officeDocument/2006/relationships/hyperlink" Id="rId66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1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60" Target="http://www.logicinaction.org/docs/ch2.pdf" TargetMode="External" /><Relationship Type="http://schemas.openxmlformats.org/officeDocument/2006/relationships/hyperlink" Id="rId61" Target="http://www.logicinaction.org/docs/ch4.pdf" TargetMode="External" /><Relationship Type="http://schemas.openxmlformats.org/officeDocument/2006/relationships/hyperlink" Id="rId62" Target="http://www.w3.org/TR/owl2-primer/" TargetMode="External" /><Relationship Type="http://schemas.openxmlformats.org/officeDocument/2006/relationships/hyperlink" Id="rId30" Target="https://courses.ischool.illinois.edu/course/view.php?id=1705" TargetMode="External" /><Relationship Type="http://schemas.openxmlformats.org/officeDocument/2006/relationships/hyperlink" Id="rId59" Target="https://uofi.box.com/s/lfqsrzjkhzdzml9d2g5w0ndtyvn0ndom" TargetMode="External" /><Relationship Type="http://schemas.openxmlformats.org/officeDocument/2006/relationships/hyperlink" Id="rId67" Target="https://uofi.box.com/s/nomrry0e4cone88xvnciaf14gg93t68h" TargetMode="External" /><Relationship Type="http://schemas.openxmlformats.org/officeDocument/2006/relationships/hyperlink" Id="rId65" Target="https://www.w3.org/TR/2014/NOTE-rdf11-primer-2014062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Modeling</dc:title>
  <dc:creator>University of Illinois School of Information Sciences</dc:creator>
</cp:coreProperties>
</file>