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Fri,</w:t>
      </w:r>
      <w:r>
        <w:t xml:space="preserve"> </w:t>
      </w:r>
      <w:r>
        <w:t xml:space="preserve">Jan</w:t>
      </w:r>
      <w:r>
        <w:t xml:space="preserve"> </w:t>
      </w:r>
      <w:r>
        <w:t xml:space="preserve">12,</w:t>
      </w:r>
      <w:r>
        <w:t xml:space="preserve"> </w:t>
      </w:r>
      <w:r>
        <w:t xml:space="preserve">2018</w:t>
      </w:r>
      <w:r>
        <w:t xml:space="preserve"> </w:t>
      </w:r>
      <w:r>
        <w:t xml:space="preserve">2:47:45</w:t>
      </w:r>
      <w:r>
        <w:t xml:space="preserve"> </w:t>
      </w:r>
      <w:r>
        <w:t xml:space="preserve">PM</w:t>
      </w:r>
    </w:p>
    <w:p>
      <w:pPr>
        <w:pStyle w:val="FirstParagraph"/>
      </w:pPr>
      <w:r>
        <w:t xml:space="preserve">IS561-AO</w:t>
      </w:r>
      <w:r>
        <w:br w:type="textWrapping"/>
      </w:r>
      <w:r>
        <w:t xml:space="preserve">Spring 2018</w:t>
      </w:r>
      <w:r>
        <w:br w:type="textWrapping"/>
      </w:r>
      <w:r>
        <w:t xml:space="preserve">Monday 5:00-7:00 PM</w:t>
      </w:r>
      <w:r>
        <w:br w:type="textWrapping"/>
      </w:r>
      <w:r>
        <w:t xml:space="preserve">Meets online</w:t>
      </w:r>
      <w:r>
        <w:br w:type="textWrapping"/>
      </w:r>
      <w:r>
        <w:t xml:space="preserve">4 GR hours</w:t>
      </w:r>
    </w:p>
    <w:p>
      <w:pPr>
        <w:pStyle w:val="BodyText"/>
      </w:pPr>
      <w:r>
        <w:t xml:space="preserve">Instructor: Michael Gryk</w:t>
      </w:r>
      <w:r>
        <w:br w:type="textWrapping"/>
      </w:r>
      <w:r>
        <w:t xml:space="preserve">Email: gryk2@illinois.edu</w:t>
      </w:r>
      <w:r>
        <w:br w:type="textWrapping"/>
      </w:r>
      <w:r>
        <w:t xml:space="preserve">Office: TBA</w:t>
      </w:r>
      <w:r>
        <w:br w:type="textWrapping"/>
      </w:r>
      <w:r>
        <w:t xml:space="preserve">Office Hour: TBA</w:t>
      </w:r>
      <w:r>
        <w:br w:type="textWrapping"/>
      </w:r>
      <w:r>
        <w:t xml:space="preserve">Phone: TBA</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michaek-gryk"/>
      <w:bookmarkEnd w:id="27"/>
      <w:r>
        <w:t xml:space="preserve">About Michaek Gryk</w:t>
      </w:r>
    </w:p>
    <w:p>
      <w:pPr>
        <w:pStyle w:val="FirstParagraph"/>
      </w:pPr>
      <w:r>
        <w:t xml:space="preserve">Dr. Michael R. Gryk is currently Associate Professor of Molecular Biology and Biophysics at UCONN Health, the medical school at the University of Connecticut. He is also a doctoral student of Library and Information Science at the School of Information Sciences, University of Illinois at Urbana – Champaign. Dr. Gryk has worked in the field of structural biology, concentrating on bioNMR, since 1990. His recent research interests are in the computational and informational science aspects of biomedical research. He received his M.S. in chemistry from the University of Connecticut and his Ph.D. in biophysics from Stanford University, Stanford, California.</w:t>
      </w:r>
      <w:r>
        <w:t xml:space="preserve"> </w:t>
      </w:r>
      <w:r>
        <w:t xml:space="preserve"># Teaching Assistants</w:t>
      </w:r>
    </w:p>
    <w:p>
      <w:pPr>
        <w:pStyle w:val="Heading2"/>
      </w:pPr>
      <w:bookmarkStart w:id="28" w:name="about-jacob-jett"/>
      <w:bookmarkEnd w:id="28"/>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29" w:name="about-kangjae-lee"/>
      <w:bookmarkEnd w:id="29"/>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0" w:name="about-lo-lee"/>
      <w:bookmarkEnd w:id="30"/>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1" w:name="library-resources"/>
      <w:bookmarkEnd w:id="31"/>
      <w:r>
        <w:t xml:space="preserve">Library Resources</w:t>
      </w:r>
    </w:p>
    <w:p>
      <w:pPr>
        <w:pStyle w:val="FirstParagraph"/>
      </w:pPr>
      <w:hyperlink r:id="rId32">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3" w:name="writing-and-bibliographic-style-resources"/>
      <w:bookmarkEnd w:id="33"/>
      <w:r>
        <w:t xml:space="preserve">Writing and Bibliographic Style Resources</w:t>
      </w:r>
    </w:p>
    <w:p>
      <w:pPr>
        <w:pStyle w:val="FirstParagraph"/>
      </w:pPr>
      <w:r>
        <w:t xml:space="preserve">The iSchool has a Writing Resources Moodle site</w:t>
      </w:r>
      <w:r>
        <w:t xml:space="preserve"> </w:t>
      </w:r>
      <w:hyperlink r:id="rId34">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1">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2" w:name="basic-needs-issues"/>
      <w:bookmarkEnd w:id="42"/>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3" w:name="emergency-response-run-hide-fight"/>
      <w:bookmarkEnd w:id="43"/>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4">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5">
        <w:r>
          <w:rPr>
            <w:rStyle w:val="Hyperlink"/>
          </w:rPr>
          <w:t xml:space="preserve">http://police.illinois.edu/dpsapp/wp-content/uploads/2017/08/syllabus-attachment.pdf</w:t>
        </w:r>
      </w:hyperlink>
      <w:r>
        <w:t xml:space="preserve">.</w:t>
      </w:r>
    </w:p>
    <w:p>
      <w:pPr>
        <w:pStyle w:val="Heading1"/>
      </w:pPr>
      <w:bookmarkStart w:id="46" w:name="assignments-and-evaluation"/>
      <w:bookmarkEnd w:id="46"/>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7" w:name="assignments-exercises-grade-distribution"/>
      <w:bookmarkEnd w:id="47"/>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8" w:name="grading-scale"/>
      <w:bookmarkEnd w:id="48"/>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49" w:name="comprehension-quizzes"/>
      <w:bookmarkEnd w:id="49"/>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0" w:name="group-classroom-exercises"/>
      <w:bookmarkEnd w:id="50"/>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1" w:name="group-modeling-projects"/>
      <w:bookmarkEnd w:id="51"/>
      <w:r>
        <w:t xml:space="preserve">Group Modeling Projects</w:t>
      </w:r>
    </w:p>
    <w:p>
      <w:pPr>
        <w:pStyle w:val="FirstParagraph"/>
      </w:pPr>
      <w:r>
        <w:t xml:space="preserve">Analysis and modeling projects completed in groups</w:t>
      </w:r>
    </w:p>
    <w:p>
      <w:pPr>
        <w:pStyle w:val="Heading3"/>
      </w:pPr>
      <w:bookmarkStart w:id="52" w:name="reading-responses-and-homework-assignments"/>
      <w:bookmarkEnd w:id="52"/>
      <w:r>
        <w:t xml:space="preserve">Reading responses and homework assignments</w:t>
      </w:r>
    </w:p>
    <w:p>
      <w:pPr>
        <w:pStyle w:val="FirstParagraph"/>
      </w:pPr>
      <w:r>
        <w:t xml:space="preserve">Reading responses and homework assignments</w:t>
      </w:r>
    </w:p>
    <w:p>
      <w:pPr>
        <w:pStyle w:val="Heading1"/>
      </w:pPr>
      <w:bookmarkStart w:id="53" w:name="topic-schedule"/>
      <w:bookmarkEnd w:id="53"/>
      <w:r>
        <w:t xml:space="preserve">Topic Schedule</w:t>
      </w:r>
    </w:p>
    <w:p>
      <w:pPr>
        <w:pStyle w:val="Heading3"/>
      </w:pPr>
      <w:bookmarkStart w:id="54" w:name="week-0-week-before-classes"/>
      <w:bookmarkEnd w:id="54"/>
      <w:r>
        <w:t xml:space="preserve">Week 0: Week before classes</w:t>
      </w:r>
    </w:p>
    <w:p>
      <w:pPr>
        <w:pStyle w:val="Heading3"/>
      </w:pPr>
      <w:bookmarkStart w:id="55" w:name="week-1-january-15-is-a-holiday-no-class-meeting"/>
      <w:bookmarkEnd w:id="55"/>
      <w:r>
        <w:t xml:space="preserve">Week 1: January 15 is a holiday: no class meeting</w:t>
      </w:r>
    </w:p>
    <w:p>
      <w:pPr>
        <w:pStyle w:val="Compact"/>
        <w:numPr>
          <w:numId w:val="1003"/>
          <w:ilvl w:val="0"/>
        </w:numPr>
      </w:pPr>
      <w:r>
        <w:t xml:space="preserve">Models and Modeling</w:t>
      </w:r>
    </w:p>
    <w:p>
      <w:pPr>
        <w:pStyle w:val="Compact"/>
        <w:numPr>
          <w:numId w:val="1004"/>
          <w:ilvl w:val="1"/>
        </w:numPr>
      </w:pPr>
      <w:r>
        <w:rPr>
          <w:b/>
        </w:rPr>
        <w:t xml:space="preserve">Required Readings:</w:t>
      </w:r>
      <w:r>
        <w:t xml:space="preserve"> </w:t>
      </w:r>
      <w:r>
        <w:t xml:space="preserve">Seidl et al. 2015a</w:t>
      </w:r>
    </w:p>
    <w:p>
      <w:pPr>
        <w:pStyle w:val="Heading3"/>
      </w:pPr>
      <w:bookmarkStart w:id="56" w:name="week-2-january-22"/>
      <w:bookmarkEnd w:id="56"/>
      <w:r>
        <w:t xml:space="preserve">Week 2: January 22</w:t>
      </w:r>
    </w:p>
    <w:p>
      <w:pPr>
        <w:pStyle w:val="Compact"/>
        <w:numPr>
          <w:numId w:val="1005"/>
          <w:ilvl w:val="0"/>
        </w:numPr>
      </w:pPr>
      <w:r>
        <w:t xml:space="preserve">Logic and Foundations</w:t>
      </w:r>
    </w:p>
    <w:p>
      <w:pPr>
        <w:pStyle w:val="Compact"/>
        <w:numPr>
          <w:numId w:val="1006"/>
          <w:ilvl w:val="1"/>
        </w:numPr>
      </w:pPr>
      <w:r>
        <w:rPr>
          <w:b/>
        </w:rPr>
        <w:t xml:space="preserve">Required Readings:</w:t>
      </w:r>
      <w:r>
        <w:t xml:space="preserve"> </w:t>
      </w:r>
      <w:r>
        <w:t xml:space="preserve">Rosen 2011c</w:t>
      </w:r>
    </w:p>
    <w:p>
      <w:pPr>
        <w:pStyle w:val="Heading3"/>
      </w:pPr>
      <w:bookmarkStart w:id="57" w:name="week-3-january-29"/>
      <w:bookmarkEnd w:id="57"/>
      <w:r>
        <w:t xml:space="preserve">Week 3: January 29</w:t>
      </w:r>
    </w:p>
    <w:p>
      <w:pPr>
        <w:pStyle w:val="Compact"/>
        <w:numPr>
          <w:numId w:val="1007"/>
          <w:ilvl w:val="0"/>
        </w:numPr>
      </w:pPr>
      <w:r>
        <w:t xml:space="preserve">Logic, classes, and relationships</w:t>
      </w:r>
    </w:p>
    <w:p>
      <w:pPr>
        <w:pStyle w:val="Compact"/>
        <w:numPr>
          <w:numId w:val="1008"/>
          <w:ilvl w:val="1"/>
        </w:numPr>
      </w:pPr>
      <w:r>
        <w:rPr>
          <w:b/>
        </w:rPr>
        <w:t xml:space="preserve">Required Readings:</w:t>
      </w:r>
      <w:r>
        <w:t xml:space="preserve"> </w:t>
      </w:r>
      <w:r>
        <w:t xml:space="preserve">Bach 1989a</w:t>
      </w:r>
    </w:p>
    <w:p>
      <w:pPr>
        <w:pStyle w:val="Compact"/>
        <w:numPr>
          <w:numId w:val="1007"/>
          <w:ilvl w:val="0"/>
        </w:numPr>
      </w:pPr>
      <w:r>
        <w:t xml:space="preserve">Class Diagrams</w:t>
      </w:r>
    </w:p>
    <w:p>
      <w:pPr>
        <w:pStyle w:val="Compact"/>
        <w:numPr>
          <w:numId w:val="1009"/>
          <w:ilvl w:val="1"/>
        </w:numPr>
      </w:pPr>
      <w:r>
        <w:rPr>
          <w:b/>
        </w:rPr>
        <w:t xml:space="preserve">Required Readings:</w:t>
      </w:r>
      <w:r>
        <w:t xml:space="preserve"> </w:t>
      </w:r>
      <w:r>
        <w:t xml:space="preserve">Seidl et al. 2015b</w:t>
      </w:r>
    </w:p>
    <w:p>
      <w:pPr>
        <w:pStyle w:val="Compact"/>
        <w:numPr>
          <w:numId w:val="1007"/>
          <w:ilvl w:val="0"/>
        </w:numPr>
      </w:pPr>
      <w:r>
        <w:t xml:space="preserve">Sets and relations</w:t>
      </w:r>
    </w:p>
    <w:p>
      <w:pPr>
        <w:pStyle w:val="Compact"/>
        <w:numPr>
          <w:numId w:val="1010"/>
          <w:ilvl w:val="1"/>
        </w:numPr>
      </w:pPr>
      <w:r>
        <w:rPr>
          <w:b/>
        </w:rPr>
        <w:t xml:space="preserve">Required Readings:</w:t>
      </w:r>
      <w:r>
        <w:t xml:space="preserve"> </w:t>
      </w:r>
      <w:r>
        <w:t xml:space="preserve">Rosen 2011a</w:t>
      </w:r>
    </w:p>
    <w:p>
      <w:pPr>
        <w:pStyle w:val="Heading3"/>
      </w:pPr>
      <w:bookmarkStart w:id="58" w:name="week-4-february-5"/>
      <w:bookmarkEnd w:id="58"/>
      <w:r>
        <w:t xml:space="preserve">Week 4: February 5</w:t>
      </w:r>
    </w:p>
    <w:p>
      <w:pPr>
        <w:pStyle w:val="Compact"/>
        <w:numPr>
          <w:numId w:val="1011"/>
          <w:ilvl w:val="0"/>
        </w:numPr>
      </w:pPr>
      <w:r>
        <w:t xml:space="preserve">Relational Algebra</w:t>
      </w:r>
    </w:p>
    <w:p>
      <w:pPr>
        <w:pStyle w:val="Compact"/>
        <w:numPr>
          <w:numId w:val="1012"/>
          <w:ilvl w:val="1"/>
        </w:numPr>
      </w:pPr>
      <w:r>
        <w:rPr>
          <w:b/>
        </w:rPr>
        <w:t xml:space="preserve">Required Readings:</w:t>
      </w:r>
      <w:r>
        <w:t xml:space="preserve"> </w:t>
      </w:r>
      <w:r>
        <w:t xml:space="preserve">Wenholz 2012</w:t>
      </w:r>
    </w:p>
    <w:p>
      <w:pPr>
        <w:pStyle w:val="Compact"/>
        <w:numPr>
          <w:numId w:val="1011"/>
          <w:ilvl w:val="0"/>
        </w:numPr>
      </w:pPr>
      <w:r>
        <w:t xml:space="preserve">Relations</w:t>
      </w:r>
    </w:p>
    <w:p>
      <w:pPr>
        <w:pStyle w:val="Compact"/>
        <w:numPr>
          <w:numId w:val="1013"/>
          <w:ilvl w:val="1"/>
        </w:numPr>
      </w:pPr>
      <w:r>
        <w:rPr>
          <w:b/>
        </w:rPr>
        <w:t xml:space="preserve">Required Readings:</w:t>
      </w:r>
      <w:r>
        <w:t xml:space="preserve"> </w:t>
      </w:r>
      <w:r>
        <w:t xml:space="preserve">Rosen 2011f</w:t>
      </w:r>
    </w:p>
    <w:p>
      <w:pPr>
        <w:pStyle w:val="Heading3"/>
      </w:pPr>
      <w:bookmarkStart w:id="59" w:name="week-5-february-12"/>
      <w:bookmarkEnd w:id="59"/>
      <w:r>
        <w:t xml:space="preserve">Week 5: February 12</w:t>
      </w:r>
    </w:p>
    <w:p>
      <w:pPr>
        <w:pStyle w:val="Compact"/>
        <w:numPr>
          <w:numId w:val="1014"/>
          <w:ilvl w:val="0"/>
        </w:numPr>
      </w:pPr>
      <w:r>
        <w:t xml:space="preserve">Semantics and Interpretation</w:t>
      </w:r>
    </w:p>
    <w:p>
      <w:pPr>
        <w:pStyle w:val="Compact"/>
        <w:numPr>
          <w:numId w:val="1015"/>
          <w:ilvl w:val="1"/>
        </w:numPr>
      </w:pPr>
      <w:r>
        <w:rPr>
          <w:b/>
        </w:rPr>
        <w:t xml:space="preserve">Required Readings:</w:t>
      </w:r>
      <w:r>
        <w:t xml:space="preserve"> </w:t>
      </w:r>
      <w:r>
        <w:t xml:space="preserve">Bach 1989a, 1989b</w:t>
      </w:r>
    </w:p>
    <w:p>
      <w:pPr>
        <w:pStyle w:val="Heading3"/>
      </w:pPr>
      <w:bookmarkStart w:id="60" w:name="week-6-february-19"/>
      <w:bookmarkEnd w:id="60"/>
      <w:r>
        <w:t xml:space="preserve">Week 6: February 19</w:t>
      </w:r>
    </w:p>
    <w:p>
      <w:pPr>
        <w:pStyle w:val="Compact"/>
        <w:numPr>
          <w:numId w:val="1016"/>
          <w:ilvl w:val="0"/>
        </w:numPr>
      </w:pPr>
      <w:r>
        <w:t xml:space="preserve">Models, Domains, Properties, and Relationships</w:t>
      </w:r>
    </w:p>
    <w:p>
      <w:pPr>
        <w:pStyle w:val="Compact"/>
        <w:numPr>
          <w:numId w:val="1017"/>
          <w:ilvl w:val="1"/>
        </w:numPr>
      </w:pPr>
      <w:r>
        <w:rPr>
          <w:b/>
        </w:rPr>
        <w:t xml:space="preserve">Required Readings:</w:t>
      </w:r>
      <w:r>
        <w:t xml:space="preserve"> </w:t>
      </w:r>
      <w:r>
        <w:t xml:space="preserve">Jubien 1997</w:t>
      </w:r>
    </w:p>
    <w:p>
      <w:pPr>
        <w:pStyle w:val="Heading3"/>
      </w:pPr>
      <w:bookmarkStart w:id="61" w:name="week-7-february-26"/>
      <w:bookmarkEnd w:id="61"/>
      <w:r>
        <w:t xml:space="preserve">Week 7: February 26</w:t>
      </w:r>
    </w:p>
    <w:p>
      <w:pPr>
        <w:pStyle w:val="Compact"/>
        <w:numPr>
          <w:numId w:val="1018"/>
          <w:ilvl w:val="0"/>
        </w:numPr>
      </w:pPr>
      <w:r>
        <w:t xml:space="preserve">Predicate Logic, Part 1</w:t>
      </w:r>
    </w:p>
    <w:p>
      <w:pPr>
        <w:pStyle w:val="Compact"/>
        <w:numPr>
          <w:numId w:val="1019"/>
          <w:ilvl w:val="1"/>
        </w:numPr>
      </w:pPr>
      <w:r>
        <w:rPr>
          <w:b/>
        </w:rPr>
        <w:t xml:space="preserve">Required Readings:</w:t>
      </w:r>
      <w:r>
        <w:t xml:space="preserve"> </w:t>
      </w:r>
      <w:r>
        <w:t xml:space="preserve">Benthem et al. 2014b, 2014c, 2014d, 2014a</w:t>
      </w:r>
    </w:p>
    <w:p>
      <w:pPr>
        <w:pStyle w:val="Heading3"/>
      </w:pPr>
      <w:bookmarkStart w:id="62" w:name="week-8-march-5"/>
      <w:bookmarkEnd w:id="62"/>
      <w:r>
        <w:t xml:space="preserve">Week 8: March 5</w:t>
      </w:r>
    </w:p>
    <w:p>
      <w:pPr>
        <w:pStyle w:val="Compact"/>
        <w:numPr>
          <w:numId w:val="1020"/>
          <w:ilvl w:val="0"/>
        </w:numPr>
      </w:pPr>
      <w:r>
        <w:t xml:space="preserve">Predicate Logic, Part 2</w:t>
      </w:r>
    </w:p>
    <w:p>
      <w:pPr>
        <w:pStyle w:val="Heading3"/>
      </w:pPr>
      <w:bookmarkStart w:id="63" w:name="week-9-march-12"/>
      <w:bookmarkEnd w:id="63"/>
      <w:r>
        <w:t xml:space="preserve">Week 9: March 12</w:t>
      </w:r>
    </w:p>
    <w:p>
      <w:pPr>
        <w:pStyle w:val="Compact"/>
        <w:numPr>
          <w:numId w:val="1021"/>
          <w:ilvl w:val="0"/>
        </w:numPr>
      </w:pPr>
      <w:r>
        <w:t xml:space="preserve">Syntax and Grammar</w:t>
      </w:r>
    </w:p>
    <w:p>
      <w:pPr>
        <w:pStyle w:val="Compact"/>
        <w:numPr>
          <w:numId w:val="1022"/>
          <w:ilvl w:val="1"/>
        </w:numPr>
      </w:pPr>
      <w:r>
        <w:rPr>
          <w:b/>
        </w:rPr>
        <w:t xml:space="preserve">Required Readings:</w:t>
      </w:r>
      <w:r>
        <w:t xml:space="preserve"> </w:t>
      </w:r>
      <w:r>
        <w:t xml:space="preserve">Rosen 2011e</w:t>
      </w:r>
    </w:p>
    <w:p>
      <w:pPr>
        <w:pStyle w:val="Heading3"/>
      </w:pPr>
      <w:bookmarkStart w:id="64" w:name="spring-holiday-march-19"/>
      <w:bookmarkEnd w:id="64"/>
      <w:r>
        <w:t xml:space="preserve">Spring Holiday: March 19</w:t>
      </w:r>
    </w:p>
    <w:p>
      <w:pPr>
        <w:pStyle w:val="Heading3"/>
      </w:pPr>
      <w:bookmarkStart w:id="65" w:name="week-11-march-26"/>
      <w:bookmarkEnd w:id="65"/>
      <w:r>
        <w:t xml:space="preserve">Week 11: March 26</w:t>
      </w:r>
    </w:p>
    <w:p>
      <w:pPr>
        <w:pStyle w:val="Compact"/>
        <w:numPr>
          <w:numId w:val="1023"/>
          <w:ilvl w:val="0"/>
        </w:numPr>
      </w:pPr>
      <w:r>
        <w:t xml:space="preserve">Graphs</w:t>
      </w:r>
    </w:p>
    <w:p>
      <w:pPr>
        <w:pStyle w:val="Compact"/>
        <w:numPr>
          <w:numId w:val="1024"/>
          <w:ilvl w:val="1"/>
        </w:numPr>
      </w:pPr>
      <w:r>
        <w:rPr>
          <w:b/>
        </w:rPr>
        <w:t xml:space="preserve">Required Readings:</w:t>
      </w:r>
      <w:r>
        <w:t xml:space="preserve"> </w:t>
      </w:r>
      <w:r>
        <w:t xml:space="preserve">Rosen 2011d</w:t>
      </w:r>
    </w:p>
    <w:p>
      <w:pPr>
        <w:pStyle w:val="Compact"/>
        <w:numPr>
          <w:numId w:val="1023"/>
          <w:ilvl w:val="0"/>
        </w:numPr>
      </w:pPr>
      <w:r>
        <w:t xml:space="preserve">Automata</w:t>
      </w:r>
    </w:p>
    <w:p>
      <w:pPr>
        <w:pStyle w:val="Compact"/>
        <w:numPr>
          <w:numId w:val="1025"/>
          <w:ilvl w:val="1"/>
        </w:numPr>
      </w:pPr>
      <w:r>
        <w:rPr>
          <w:b/>
        </w:rPr>
        <w:t xml:space="preserve">Required Readings:</w:t>
      </w:r>
      <w:r>
        <w:t xml:space="preserve"> </w:t>
      </w:r>
      <w:r>
        <w:t xml:space="preserve">Rosen 2011b</w:t>
      </w:r>
    </w:p>
    <w:p>
      <w:pPr>
        <w:pStyle w:val="Heading3"/>
      </w:pPr>
      <w:bookmarkStart w:id="66" w:name="week-12-april-2"/>
      <w:bookmarkEnd w:id="66"/>
      <w:r>
        <w:t xml:space="preserve">Week 12: April 2</w:t>
      </w:r>
    </w:p>
    <w:p>
      <w:pPr>
        <w:pStyle w:val="Compact"/>
        <w:numPr>
          <w:numId w:val="1026"/>
          <w:ilvl w:val="0"/>
        </w:numPr>
      </w:pPr>
      <w:r>
        <w:t xml:space="preserve">Conceptual Graphs</w:t>
      </w:r>
    </w:p>
    <w:p>
      <w:pPr>
        <w:pStyle w:val="Compact"/>
        <w:numPr>
          <w:numId w:val="1027"/>
          <w:ilvl w:val="1"/>
        </w:numPr>
      </w:pPr>
      <w:r>
        <w:rPr>
          <w:b/>
        </w:rPr>
        <w:t xml:space="preserve">Required Readings:</w:t>
      </w:r>
      <w:r>
        <w:t xml:space="preserve"> </w:t>
      </w:r>
      <w:r>
        <w:t xml:space="preserve">Pan et al. 2017</w:t>
      </w:r>
    </w:p>
    <w:p>
      <w:pPr>
        <w:pStyle w:val="Heading3"/>
      </w:pPr>
      <w:bookmarkStart w:id="67" w:name="week-13-april-9"/>
      <w:bookmarkEnd w:id="67"/>
      <w:r>
        <w:t xml:space="preserve">Week 13: April 9</w:t>
      </w:r>
    </w:p>
    <w:p>
      <w:pPr>
        <w:pStyle w:val="Compact"/>
        <w:numPr>
          <w:numId w:val="1028"/>
          <w:ilvl w:val="0"/>
        </w:numPr>
      </w:pPr>
      <w:r>
        <w:t xml:space="preserve">The RDF model and language</w:t>
      </w:r>
    </w:p>
    <w:p>
      <w:pPr>
        <w:pStyle w:val="Compact"/>
        <w:numPr>
          <w:numId w:val="1029"/>
          <w:ilvl w:val="1"/>
        </w:numPr>
      </w:pPr>
      <w:r>
        <w:rPr>
          <w:b/>
        </w:rPr>
        <w:t xml:space="preserve">Required Readings:</w:t>
      </w:r>
      <w:r>
        <w:t xml:space="preserve"> </w:t>
      </w:r>
      <w:r>
        <w:t xml:space="preserve">Beckett et al. 2014; Manola et al. 2014</w:t>
      </w:r>
    </w:p>
    <w:p>
      <w:pPr>
        <w:pStyle w:val="Heading3"/>
      </w:pPr>
      <w:bookmarkStart w:id="68" w:name="week-14-april-16"/>
      <w:bookmarkEnd w:id="68"/>
      <w:r>
        <w:t xml:space="preserve">Week 14: April 16</w:t>
      </w:r>
    </w:p>
    <w:p>
      <w:pPr>
        <w:pStyle w:val="Compact"/>
        <w:numPr>
          <w:numId w:val="1030"/>
          <w:ilvl w:val="0"/>
        </w:numPr>
      </w:pPr>
      <w:r>
        <w:t xml:space="preserve">Description Logics</w:t>
      </w:r>
    </w:p>
    <w:p>
      <w:pPr>
        <w:pStyle w:val="Compact"/>
        <w:numPr>
          <w:numId w:val="1031"/>
          <w:ilvl w:val="1"/>
        </w:numPr>
      </w:pPr>
      <w:r>
        <w:rPr>
          <w:b/>
        </w:rPr>
        <w:t xml:space="preserve">Required Readings:</w:t>
      </w:r>
      <w:r>
        <w:t xml:space="preserve"> </w:t>
      </w:r>
      <w:r>
        <w:t xml:space="preserve">Krötzsch et al. 2014</w:t>
      </w:r>
    </w:p>
    <w:p>
      <w:pPr>
        <w:pStyle w:val="Heading3"/>
      </w:pPr>
      <w:bookmarkStart w:id="69" w:name="week-15-april-23"/>
      <w:bookmarkEnd w:id="69"/>
      <w:r>
        <w:t xml:space="preserve">Week 15: April 23</w:t>
      </w:r>
    </w:p>
    <w:p>
      <w:pPr>
        <w:pStyle w:val="Compact"/>
        <w:numPr>
          <w:numId w:val="1032"/>
          <w:ilvl w:val="0"/>
        </w:numPr>
      </w:pPr>
      <w:r>
        <w:t xml:space="preserve">Ontologies</w:t>
      </w:r>
    </w:p>
    <w:p>
      <w:pPr>
        <w:pStyle w:val="Compact"/>
        <w:numPr>
          <w:numId w:val="1033"/>
          <w:ilvl w:val="1"/>
        </w:numPr>
      </w:pPr>
      <w:r>
        <w:rPr>
          <w:b/>
        </w:rPr>
        <w:t xml:space="preserve">Required Readings:</w:t>
      </w:r>
      <w:r>
        <w:t xml:space="preserve"> </w:t>
      </w:r>
      <w:r>
        <w:t xml:space="preserve">Hitzler et al. 2012; Porter et al. 2008</w:t>
      </w:r>
    </w:p>
    <w:p>
      <w:pPr>
        <w:pStyle w:val="Heading3"/>
      </w:pPr>
      <w:bookmarkStart w:id="70" w:name="week-16-april-30"/>
      <w:bookmarkEnd w:id="70"/>
      <w:r>
        <w:t xml:space="preserve">Week 16: April 30</w:t>
      </w:r>
    </w:p>
    <w:p>
      <w:pPr>
        <w:pStyle w:val="Compact"/>
        <w:numPr>
          <w:numId w:val="1034"/>
          <w:ilvl w:val="0"/>
        </w:numPr>
      </w:pPr>
      <w:r>
        <w:t xml:space="preserve">Wrapup and Evaluation</w:t>
      </w:r>
    </w:p>
    <w:p>
      <w:pPr>
        <w:pStyle w:val="Heading1"/>
      </w:pPr>
      <w:bookmarkStart w:id="71" w:name="readings"/>
      <w:bookmarkEnd w:id="71"/>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2">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2">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73">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74">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74">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74">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74">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5">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76">
        <w:r>
          <w:rPr>
            <w:rStyle w:val="Hyperlink"/>
          </w:rPr>
          <w:t xml:space="preserve">https://courseweb.lis.illinois.edu/lis/2014fa/lis590ro/readings/Jubien97ch2-3.pdf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77">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78">
        <w:r>
          <w:rPr>
            <w:rStyle w:val="Hyperlink"/>
          </w:rPr>
          <w:t xml:space="preserve">https://www.w3.org/TR/2014/NOTE-rdf11-primer-20140624/</w:t>
        </w:r>
      </w:hyperlink>
      <w:r>
        <w:t xml:space="preserve">.</w:t>
      </w:r>
    </w:p>
    <w:p>
      <w:pPr>
        <w:pStyle w:val="Bibliography"/>
      </w:pPr>
      <w:r>
        <w:t xml:space="preserve">Pan, J Z, Vetere, G, Gomez-Perez, J M, and Wu, H (eds.). 2017. “Knowledge graphs: Foundations”. In</w:t>
      </w:r>
      <w:r>
        <w:t xml:space="preserve"> </w:t>
      </w:r>
      <w:r>
        <w:rPr>
          <w:i/>
        </w:rPr>
        <w:t xml:space="preserve">Exploiting Linked Data and Knowledge Graphs in Large Organisations</w:t>
      </w:r>
      <w:r>
        <w:t xml:space="preserve">. Cham, 17–38.</w:t>
      </w:r>
      <w:r>
        <w:t xml:space="preserve"> </w:t>
      </w:r>
      <w:hyperlink r:id="rId79">
        <w:r>
          <w:rPr>
            <w:rStyle w:val="Hyperlink"/>
          </w:rPr>
          <w:t xml:space="preserve">http://link.springer.com/10.1007/978-3-319-45654-6</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0">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1">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2">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4103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1085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015e9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admin.illinois.edu/policy/code/article1_part4_1-401.html" TargetMode="External" /><Relationship Type="http://schemas.openxmlformats.org/officeDocument/2006/relationships/hyperlink" Id="rId82" Target="http://buzzard.ups.edu/courses/2012spring/projects/wenholz-relational-algebra-ups-434-2012.pdf" TargetMode="External" /><Relationship Type="http://schemas.openxmlformats.org/officeDocument/2006/relationships/hyperlink" Id="rId41" Target="http://disability.illinois.edu/" TargetMode="External" /><Relationship Type="http://schemas.openxmlformats.org/officeDocument/2006/relationships/hyperlink" Id="rId80" Target="http://dx.doi.org/10.1007/978-3-319-12742-2_1" TargetMode="External" /><Relationship Type="http://schemas.openxmlformats.org/officeDocument/2006/relationships/hyperlink" Id="rId81" Target="http://dx.doi.org/10.1007/978-3-319-12742-2_4" TargetMode="External" /><Relationship Type="http://schemas.openxmlformats.org/officeDocument/2006/relationships/hyperlink" Id="rId77" Target="http://ieeexplore.ieee.org/document/6671572/" TargetMode="External" /><Relationship Type="http://schemas.openxmlformats.org/officeDocument/2006/relationships/hyperlink" Id="rId79" Target="http://link.springer.com/10.1007/978-3-319-45654-6" TargetMode="External" /><Relationship Type="http://schemas.openxmlformats.org/officeDocument/2006/relationships/hyperlink" Id="rId45" Target="http://police.illinois.edu/dpsapp/wp-content/uploads/2017/08/syllabus-attachment.pdf" TargetMode="External" /><Relationship Type="http://schemas.openxmlformats.org/officeDocument/2006/relationships/hyperlink" Id="rId44" Target="http://police.illinois.edu/safe"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supporting_docs/Inclusive%20Illinois%20Diversity%20Statement.pdf" TargetMode="External" /><Relationship Type="http://schemas.openxmlformats.org/officeDocument/2006/relationships/hyperlink" Id="rId32" Target="http://www.library.illinois.edu/infosci/"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76" Target="https://courseweb.lis.illinois.edu/lis/2014fa/lis590ro/readings/Jubien97ch2-3.pdf" TargetMode="External" /><Relationship Type="http://schemas.openxmlformats.org/officeDocument/2006/relationships/hyperlink" Id="rId72" Target="https://uofi.box.com/s/lfqsrzjkhzdzml9d2g5w0ndtyvn0ndom" TargetMode="External" /><Relationship Type="http://schemas.openxmlformats.org/officeDocument/2006/relationships/hyperlink" Id="rId78" Target="https://www.w3.org/TR/2014/NOTE-rdf11-primer-20140624/" TargetMode="External" /><Relationship Type="http://schemas.openxmlformats.org/officeDocument/2006/relationships/hyperlink" Id="rId73"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37" Target="http://admin.illinois.edu/policy/code/article1_part4_1-401.html" TargetMode="External" /><Relationship Type="http://schemas.openxmlformats.org/officeDocument/2006/relationships/hyperlink" Id="rId82" Target="http://buzzard.ups.edu/courses/2012spring/projects/wenholz-relational-algebra-ups-434-2012.pdf" TargetMode="External" /><Relationship Type="http://schemas.openxmlformats.org/officeDocument/2006/relationships/hyperlink" Id="rId41" Target="http://disability.illinois.edu/" TargetMode="External" /><Relationship Type="http://schemas.openxmlformats.org/officeDocument/2006/relationships/hyperlink" Id="rId80" Target="http://dx.doi.org/10.1007/978-3-319-12742-2_1" TargetMode="External" /><Relationship Type="http://schemas.openxmlformats.org/officeDocument/2006/relationships/hyperlink" Id="rId81" Target="http://dx.doi.org/10.1007/978-3-319-12742-2_4" TargetMode="External" /><Relationship Type="http://schemas.openxmlformats.org/officeDocument/2006/relationships/hyperlink" Id="rId77" Target="http://ieeexplore.ieee.org/document/6671572/" TargetMode="External" /><Relationship Type="http://schemas.openxmlformats.org/officeDocument/2006/relationships/hyperlink" Id="rId79" Target="http://link.springer.com/10.1007/978-3-319-45654-6" TargetMode="External" /><Relationship Type="http://schemas.openxmlformats.org/officeDocument/2006/relationships/hyperlink" Id="rId45" Target="http://police.illinois.edu/dpsapp/wp-content/uploads/2017/08/syllabus-attachment.pdf" TargetMode="External" /><Relationship Type="http://schemas.openxmlformats.org/officeDocument/2006/relationships/hyperlink" Id="rId44" Target="http://police.illinois.edu/safe"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supporting_docs/Inclusive%20Illinois%20Diversity%20Statement.pdf" TargetMode="External" /><Relationship Type="http://schemas.openxmlformats.org/officeDocument/2006/relationships/hyperlink" Id="rId32" Target="http://www.library.illinois.edu/infosci/"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76" Target="https://courseweb.lis.illinois.edu/lis/2014fa/lis590ro/readings/Jubien97ch2-3.pdf" TargetMode="External" /><Relationship Type="http://schemas.openxmlformats.org/officeDocument/2006/relationships/hyperlink" Id="rId72" Target="https://uofi.box.com/s/lfqsrzjkhzdzml9d2g5w0ndtyvn0ndom" TargetMode="External" /><Relationship Type="http://schemas.openxmlformats.org/officeDocument/2006/relationships/hyperlink" Id="rId78" Target="https://www.w3.org/TR/2014/NOTE-rdf11-primer-20140624/" TargetMode="External" /><Relationship Type="http://schemas.openxmlformats.org/officeDocument/2006/relationships/hyperlink" Id="rId73"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