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Fri,</w:t>
      </w:r>
      <w:r>
        <w:t xml:space="preserve"> </w:t>
      </w:r>
      <w:r>
        <w:t xml:space="preserve">Jan</w:t>
      </w:r>
      <w:r>
        <w:t xml:space="preserve"> </w:t>
      </w:r>
      <w:r>
        <w:t xml:space="preserve">12,</w:t>
      </w:r>
      <w:r>
        <w:t xml:space="preserve"> </w:t>
      </w:r>
      <w:r>
        <w:t xml:space="preserve">2018</w:t>
      </w:r>
      <w:r>
        <w:t xml:space="preserve"> </w:t>
      </w:r>
      <w:r>
        <w:t xml:space="preserve">1:52:29</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1-january-16-and-18"/>
      <w:bookmarkEnd w:id="56"/>
      <w:r>
        <w:t xml:space="preserve">Week 1: January 16 and 18</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2-january-23-and-25"/>
      <w:bookmarkEnd w:id="57"/>
      <w:r>
        <w:t xml:space="preserve">Week 2: January 23 and 25</w:t>
      </w:r>
    </w:p>
    <w:p>
      <w:pPr>
        <w:pStyle w:val="Compact"/>
        <w:numPr>
          <w:numId w:val="1007"/>
          <w:ilvl w:val="0"/>
        </w:numPr>
      </w:pPr>
      <w:r>
        <w:t xml:space="preserve">Sets and relations</w:t>
      </w:r>
    </w:p>
    <w:p>
      <w:pPr>
        <w:pStyle w:val="Compact"/>
        <w:numPr>
          <w:numId w:val="1008"/>
          <w:ilvl w:val="1"/>
        </w:numPr>
      </w:pPr>
      <w:r>
        <w:rPr>
          <w:b/>
        </w:rPr>
        <w:t xml:space="preserve">Required Readings:</w:t>
      </w:r>
      <w:r>
        <w:t xml:space="preserve"> </w:t>
      </w:r>
      <w:r>
        <w:t xml:space="preserve">Rosen 2011a</w:t>
      </w:r>
    </w:p>
    <w:p>
      <w:pPr>
        <w:pStyle w:val="Compact"/>
        <w:numPr>
          <w:numId w:val="1007"/>
          <w:ilvl w:val="0"/>
        </w:numPr>
      </w:pPr>
      <w:r>
        <w:t xml:space="preserve">Logic, classes, and relationships</w:t>
      </w:r>
    </w:p>
    <w:p>
      <w:pPr>
        <w:pStyle w:val="Compact"/>
        <w:numPr>
          <w:numId w:val="1009"/>
          <w:ilvl w:val="1"/>
        </w:numPr>
      </w:pPr>
      <w:r>
        <w:rPr>
          <w:b/>
        </w:rPr>
        <w:t xml:space="preserve">Required Readings:</w:t>
      </w:r>
      <w:r>
        <w:t xml:space="preserve"> </w:t>
      </w:r>
      <w:r>
        <w:t xml:space="preserve">Bach 1989a</w:t>
      </w:r>
    </w:p>
    <w:p>
      <w:pPr>
        <w:pStyle w:val="Compact"/>
        <w:numPr>
          <w:numId w:val="1007"/>
          <w:ilvl w:val="0"/>
        </w:numPr>
      </w:pPr>
      <w:r>
        <w:t xml:space="preserve">Class Diagrams</w:t>
      </w:r>
    </w:p>
    <w:p>
      <w:pPr>
        <w:pStyle w:val="Compact"/>
        <w:numPr>
          <w:numId w:val="1010"/>
          <w:ilvl w:val="1"/>
        </w:numPr>
      </w:pPr>
      <w:r>
        <w:rPr>
          <w:b/>
        </w:rPr>
        <w:t xml:space="preserve">Required Readings:</w:t>
      </w:r>
      <w:r>
        <w:t xml:space="preserve"> </w:t>
      </w:r>
      <w:r>
        <w:t xml:space="preserve">Seidl et al. 2015b</w:t>
      </w:r>
    </w:p>
    <w:p>
      <w:pPr>
        <w:pStyle w:val="Heading3"/>
      </w:pPr>
      <w:bookmarkStart w:id="58" w:name="week-3-january-30-and-february-1"/>
      <w:bookmarkEnd w:id="58"/>
      <w:r>
        <w:t xml:space="preserve">Week 3: January 30 and February 1</w:t>
      </w:r>
    </w:p>
    <w:p>
      <w:pPr>
        <w:pStyle w:val="Compact"/>
        <w:numPr>
          <w:numId w:val="1011"/>
          <w:ilvl w:val="0"/>
        </w:numPr>
      </w:pPr>
      <w:r>
        <w:t xml:space="preserve">Relations</w:t>
      </w:r>
    </w:p>
    <w:p>
      <w:pPr>
        <w:pStyle w:val="Compact"/>
        <w:numPr>
          <w:numId w:val="1012"/>
          <w:ilvl w:val="1"/>
        </w:numPr>
      </w:pPr>
      <w:r>
        <w:rPr>
          <w:b/>
        </w:rPr>
        <w:t xml:space="preserve">Required Readings:</w:t>
      </w:r>
      <w:r>
        <w:t xml:space="preserve"> </w:t>
      </w:r>
      <w:r>
        <w:t xml:space="preserve">Rosen 2011f</w:t>
      </w:r>
    </w:p>
    <w:p>
      <w:pPr>
        <w:pStyle w:val="Compact"/>
        <w:numPr>
          <w:numId w:val="1011"/>
          <w:ilvl w:val="0"/>
        </w:numPr>
      </w:pPr>
      <w:r>
        <w:t xml:space="preserve">Relational Algebra</w:t>
      </w:r>
    </w:p>
    <w:p>
      <w:pPr>
        <w:pStyle w:val="Compact"/>
        <w:numPr>
          <w:numId w:val="1013"/>
          <w:ilvl w:val="1"/>
        </w:numPr>
      </w:pPr>
      <w:r>
        <w:rPr>
          <w:b/>
        </w:rPr>
        <w:t xml:space="preserve">Required Readings:</w:t>
      </w:r>
      <w:r>
        <w:t xml:space="preserve"> </w:t>
      </w:r>
      <w:r>
        <w:t xml:space="preserve">Wenholz 2012</w:t>
      </w:r>
    </w:p>
    <w:p>
      <w:pPr>
        <w:pStyle w:val="Heading3"/>
      </w:pPr>
      <w:bookmarkStart w:id="59" w:name="week-4-february-6-and-8"/>
      <w:bookmarkEnd w:id="59"/>
      <w:r>
        <w:t xml:space="preserve">Week 4: February 6 and 8</w:t>
      </w:r>
    </w:p>
    <w:p>
      <w:pPr>
        <w:pStyle w:val="Compact"/>
        <w:numPr>
          <w:numId w:val="1014"/>
          <w:ilvl w:val="0"/>
        </w:numPr>
      </w:pPr>
      <w:r>
        <w:t xml:space="preserve">Semantics and Interpretation</w:t>
      </w:r>
    </w:p>
    <w:p>
      <w:pPr>
        <w:pStyle w:val="Compact"/>
        <w:numPr>
          <w:numId w:val="1015"/>
          <w:ilvl w:val="1"/>
        </w:numPr>
      </w:pPr>
      <w:r>
        <w:rPr>
          <w:b/>
        </w:rPr>
        <w:t xml:space="preserve">Required Readings:</w:t>
      </w:r>
      <w:r>
        <w:t xml:space="preserve"> </w:t>
      </w:r>
      <w:r>
        <w:t xml:space="preserve">Bach 1989a, 1989b</w:t>
      </w:r>
    </w:p>
    <w:p>
      <w:pPr>
        <w:pStyle w:val="Heading3"/>
      </w:pPr>
      <w:bookmarkStart w:id="60" w:name="week-5-february-13-and-15"/>
      <w:bookmarkEnd w:id="60"/>
      <w:r>
        <w:t xml:space="preserve">Week 5: February 13 and 15</w:t>
      </w:r>
    </w:p>
    <w:p>
      <w:pPr>
        <w:pStyle w:val="Compact"/>
        <w:numPr>
          <w:numId w:val="1016"/>
          <w:ilvl w:val="0"/>
        </w:numPr>
      </w:pPr>
      <w:r>
        <w:t xml:space="preserve">Models, Domains, Properties, and Relationships</w:t>
      </w:r>
    </w:p>
    <w:p>
      <w:pPr>
        <w:pStyle w:val="Compact"/>
        <w:numPr>
          <w:numId w:val="1017"/>
          <w:ilvl w:val="1"/>
        </w:numPr>
      </w:pPr>
      <w:r>
        <w:rPr>
          <w:b/>
        </w:rPr>
        <w:t xml:space="preserve">Required Readings:</w:t>
      </w:r>
      <w:r>
        <w:t xml:space="preserve"> </w:t>
      </w:r>
      <w:r>
        <w:t xml:space="preserve">Jubien 1997</w:t>
      </w:r>
    </w:p>
    <w:p>
      <w:pPr>
        <w:pStyle w:val="Heading3"/>
      </w:pPr>
      <w:bookmarkStart w:id="61" w:name="week-6-february-20-and-22"/>
      <w:bookmarkEnd w:id="61"/>
      <w:r>
        <w:t xml:space="preserve">Week 6: February 20 and 22</w:t>
      </w:r>
    </w:p>
    <w:p>
      <w:pPr>
        <w:pStyle w:val="Compact"/>
        <w:numPr>
          <w:numId w:val="1018"/>
          <w:ilvl w:val="0"/>
        </w:numPr>
      </w:pPr>
      <w:r>
        <w:t xml:space="preserve">Predicate Logic, Part 1</w:t>
      </w:r>
    </w:p>
    <w:p>
      <w:pPr>
        <w:pStyle w:val="Compact"/>
        <w:numPr>
          <w:numId w:val="1019"/>
          <w:ilvl w:val="1"/>
        </w:numPr>
      </w:pPr>
      <w:r>
        <w:rPr>
          <w:b/>
        </w:rPr>
        <w:t xml:space="preserve">Required Readings:</w:t>
      </w:r>
      <w:r>
        <w:t xml:space="preserve"> </w:t>
      </w:r>
      <w:r>
        <w:t xml:space="preserve">Benthem et al. 2014b, 2014c, 2014d, 2014a</w:t>
      </w:r>
    </w:p>
    <w:p>
      <w:pPr>
        <w:pStyle w:val="Heading3"/>
      </w:pPr>
      <w:bookmarkStart w:id="62" w:name="week-7-february-27-and-march-1"/>
      <w:bookmarkEnd w:id="62"/>
      <w:r>
        <w:t xml:space="preserve">Week 7: February 27 and March 1</w:t>
      </w:r>
    </w:p>
    <w:p>
      <w:pPr>
        <w:pStyle w:val="Compact"/>
        <w:numPr>
          <w:numId w:val="1020"/>
          <w:ilvl w:val="0"/>
        </w:numPr>
      </w:pPr>
      <w:r>
        <w:t xml:space="preserve">Predicate Logic, Part 2</w:t>
      </w:r>
    </w:p>
    <w:p>
      <w:pPr>
        <w:pStyle w:val="Heading3"/>
      </w:pPr>
      <w:bookmarkStart w:id="63" w:name="week-8-march-6-and-8"/>
      <w:bookmarkEnd w:id="63"/>
      <w:r>
        <w:t xml:space="preserve">Week 8: March 6 and 8</w:t>
      </w:r>
    </w:p>
    <w:p>
      <w:pPr>
        <w:pStyle w:val="Compact"/>
        <w:numPr>
          <w:numId w:val="1021"/>
          <w:ilvl w:val="0"/>
        </w:numPr>
      </w:pPr>
      <w:r>
        <w:t xml:space="preserve">Syntax and Grammar</w:t>
      </w:r>
    </w:p>
    <w:p>
      <w:pPr>
        <w:pStyle w:val="Compact"/>
        <w:numPr>
          <w:numId w:val="1022"/>
          <w:ilvl w:val="1"/>
        </w:numPr>
      </w:pPr>
      <w:r>
        <w:rPr>
          <w:b/>
        </w:rPr>
        <w:t xml:space="preserve">Required Readings:</w:t>
      </w:r>
      <w:r>
        <w:t xml:space="preserve"> </w:t>
      </w:r>
      <w:r>
        <w:t xml:space="preserve">Rosen 2011e</w:t>
      </w:r>
    </w:p>
    <w:p>
      <w:pPr>
        <w:pStyle w:val="Heading3"/>
      </w:pPr>
      <w:bookmarkStart w:id="64" w:name="week-9-march-13-and-15"/>
      <w:bookmarkEnd w:id="64"/>
      <w:r>
        <w:t xml:space="preserve">Week 9: March 13 and 15</w:t>
      </w:r>
    </w:p>
    <w:p>
      <w:pPr>
        <w:pStyle w:val="Compact"/>
        <w:numPr>
          <w:numId w:val="1023"/>
          <w:ilvl w:val="0"/>
        </w:numPr>
      </w:pPr>
      <w:r>
        <w:t xml:space="preserve">Automata</w:t>
      </w:r>
    </w:p>
    <w:p>
      <w:pPr>
        <w:pStyle w:val="Compact"/>
        <w:numPr>
          <w:numId w:val="1024"/>
          <w:ilvl w:val="1"/>
        </w:numPr>
      </w:pPr>
      <w:r>
        <w:rPr>
          <w:b/>
        </w:rPr>
        <w:t xml:space="preserve">Required Readings:</w:t>
      </w:r>
      <w:r>
        <w:t xml:space="preserve"> </w:t>
      </w:r>
      <w:r>
        <w:t xml:space="preserve">Rosen 2011b</w:t>
      </w:r>
    </w:p>
    <w:p>
      <w:pPr>
        <w:pStyle w:val="Compact"/>
        <w:numPr>
          <w:numId w:val="1023"/>
          <w:ilvl w:val="0"/>
        </w:numPr>
      </w:pPr>
      <w:r>
        <w:t xml:space="preserve">Graphs</w:t>
      </w:r>
    </w:p>
    <w:p>
      <w:pPr>
        <w:pStyle w:val="Compact"/>
        <w:numPr>
          <w:numId w:val="1025"/>
          <w:ilvl w:val="1"/>
        </w:numPr>
      </w:pPr>
      <w:r>
        <w:rPr>
          <w:b/>
        </w:rPr>
        <w:t xml:space="preserve">Required Readings:</w:t>
      </w:r>
      <w:r>
        <w:t xml:space="preserve"> </w:t>
      </w:r>
      <w:r>
        <w:t xml:space="preserve">Rosen 2011d</w:t>
      </w:r>
    </w:p>
    <w:p>
      <w:pPr>
        <w:pStyle w:val="Heading3"/>
      </w:pPr>
      <w:bookmarkStart w:id="65" w:name="spring-holiday-march-20-and-22"/>
      <w:bookmarkEnd w:id="65"/>
      <w:r>
        <w:t xml:space="preserve">Spring Holiday: March 20 and 22</w:t>
      </w:r>
    </w:p>
    <w:p>
      <w:pPr>
        <w:pStyle w:val="Heading3"/>
      </w:pPr>
      <w:bookmarkStart w:id="66" w:name="week-11-march-27-and-29"/>
      <w:bookmarkEnd w:id="66"/>
      <w:r>
        <w:t xml:space="preserve">Week 11: March 27 and 29</w:t>
      </w:r>
    </w:p>
    <w:p>
      <w:pPr>
        <w:pStyle w:val="Compact"/>
        <w:numPr>
          <w:numId w:val="1026"/>
          <w:ilvl w:val="0"/>
        </w:numPr>
      </w:pPr>
      <w:r>
        <w:t xml:space="preserve">Conceptual Graphs</w:t>
      </w:r>
    </w:p>
    <w:p>
      <w:pPr>
        <w:pStyle w:val="Compact"/>
        <w:numPr>
          <w:numId w:val="1027"/>
          <w:ilvl w:val="1"/>
        </w:numPr>
      </w:pPr>
      <w:r>
        <w:rPr>
          <w:b/>
        </w:rPr>
        <w:t xml:space="preserve">Required Readings:</w:t>
      </w:r>
      <w:r>
        <w:t xml:space="preserve"> </w:t>
      </w:r>
      <w:r>
        <w:t xml:space="preserve">Pan et al. 2017</w:t>
      </w:r>
    </w:p>
    <w:p>
      <w:pPr>
        <w:pStyle w:val="Heading3"/>
      </w:pPr>
      <w:bookmarkStart w:id="67" w:name="week-12-april-3-and-5"/>
      <w:bookmarkEnd w:id="67"/>
      <w:r>
        <w:t xml:space="preserve">Week 12: April 3 and 5</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Beckett et al. 2014; Manola et al. 2014</w:t>
      </w:r>
    </w:p>
    <w:p>
      <w:pPr>
        <w:pStyle w:val="Heading3"/>
      </w:pPr>
      <w:bookmarkStart w:id="68" w:name="week-13-april-10-and-13"/>
      <w:bookmarkEnd w:id="68"/>
      <w:r>
        <w:t xml:space="preserve">Week 13: April 10 and 13</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2014</w:t>
      </w:r>
    </w:p>
    <w:p>
      <w:pPr>
        <w:pStyle w:val="Heading3"/>
      </w:pPr>
      <w:bookmarkStart w:id="69" w:name="week-14-april-17-and-19"/>
      <w:bookmarkEnd w:id="69"/>
      <w:r>
        <w:t xml:space="preserve">Week 14: April 17 and 19</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 Porter et al. 2008</w:t>
      </w:r>
    </w:p>
    <w:p>
      <w:pPr>
        <w:pStyle w:val="Heading3"/>
      </w:pPr>
      <w:bookmarkStart w:id="70" w:name="week-15-april-24-and-26"/>
      <w:bookmarkEnd w:id="70"/>
      <w:r>
        <w:t xml:space="preserve">Week 15: April 24 and 26</w:t>
      </w:r>
    </w:p>
    <w:p>
      <w:pPr>
        <w:pStyle w:val="Heading3"/>
      </w:pPr>
      <w:bookmarkStart w:id="71" w:name="week-16-may-1"/>
      <w:bookmarkEnd w:id="71"/>
      <w:r>
        <w:t xml:space="preserve">Week 16: May 1</w:t>
      </w:r>
    </w:p>
    <w:p>
      <w:pPr>
        <w:pStyle w:val="Compact"/>
        <w:numPr>
          <w:numId w:val="1034"/>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74">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75">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7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6">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7">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78">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79">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80">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1">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2">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3">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ff0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f1af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c695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8" Target="http://ieeexplore.ieee.org/document/6671572/" TargetMode="External" /><Relationship Type="http://schemas.openxmlformats.org/officeDocument/2006/relationships/hyperlink" Id="rId80"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7"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9" Target="https://www.w3.org/TR/2014/NOTE-rdf11-primer-20140624/" TargetMode="External" /><Relationship Type="http://schemas.openxmlformats.org/officeDocument/2006/relationships/hyperlink" Id="rId74"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