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Fri,</w:t>
      </w:r>
      <w:r>
        <w:t xml:space="preserve"> </w:t>
      </w:r>
      <w:r>
        <w:t xml:space="preserve">Jan</w:t>
      </w:r>
      <w:r>
        <w:t xml:space="preserve"> </w:t>
      </w:r>
      <w:r>
        <w:t xml:space="preserve">5,</w:t>
      </w:r>
      <w:r>
        <w:t xml:space="preserve"> </w:t>
      </w:r>
      <w:r>
        <w:t xml:space="preserve">2018</w:t>
      </w:r>
      <w:r>
        <w:t xml:space="preserve"> </w:t>
      </w:r>
      <w:r>
        <w:t xml:space="preserve">12:54:11</w:t>
      </w:r>
      <w:r>
        <w:t xml:space="preserve"> </w:t>
      </w:r>
      <w:r>
        <w:t xml:space="preserve">PM</w:t>
      </w:r>
    </w:p>
    <w:p>
      <w:pPr>
        <w:pStyle w:val="FirstParagraph"/>
      </w:pPr>
      <w:r>
        <w:t xml:space="preserve">IS561-A</w:t>
      </w:r>
      <w:r>
        <w:br w:type="textWrapping"/>
      </w:r>
      <w:r>
        <w:t xml:space="preserve">Spring 2018</w:t>
      </w:r>
      <w:r>
        <w:br w:type="textWrapping"/>
      </w:r>
      <w:r>
        <w:t xml:space="preserve">Tuesday, Thursday 11:00 AM to 12:20 PM</w:t>
      </w:r>
      <w:r>
        <w:br w:type="textWrapping"/>
      </w:r>
      <w:r>
        <w:t xml:space="preserve">209 Huff Hall</w:t>
      </w:r>
      <w:r>
        <w:br w:type="textWrapping"/>
      </w:r>
      <w:r>
        <w:t xml:space="preserve">4 GR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Mondays, 2:00-5:00 PM and by appointment</w:t>
      </w:r>
      <w:r>
        <w:br w:type="textWrapping"/>
      </w:r>
      <w:r>
        <w:t xml:space="preserve">Phone: (217) 244-3275</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Tuesdays, 1-3pm and by appointment</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Wednesday, 10am-12pm</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Thursdays, 10 am - 12 pm</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7" w:name="about-dave-dubin"/>
      <w:bookmarkEnd w:id="27"/>
      <w:r>
        <w:t xml:space="preserve">About Dave Dubin</w:t>
      </w:r>
    </w:p>
    <w:p>
      <w:pPr>
        <w:pStyle w:val="FirstParagraph"/>
      </w:pPr>
      <w:r>
        <w:t xml:space="preserve">David Dubin is a Research Associate Professor at the School of Information Sciences.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28" w:name="teaching-assistants"/>
      <w:bookmarkEnd w:id="28"/>
      <w:r>
        <w:t xml:space="preserve">Teaching Assistants</w:t>
      </w:r>
    </w:p>
    <w:p>
      <w:pPr>
        <w:pStyle w:val="Heading2"/>
      </w:pPr>
      <w:bookmarkStart w:id="29" w:name="about-jacob-jett"/>
      <w:bookmarkEnd w:id="29"/>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0" w:name="about-kangjae-lee"/>
      <w:bookmarkEnd w:id="30"/>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1" w:name="about-lo-lee"/>
      <w:bookmarkEnd w:id="31"/>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4" w:name="writing-and-bibliographic-style-resources"/>
      <w:bookmarkEnd w:id="34"/>
      <w:r>
        <w:t xml:space="preserve">Writing and Bibliographic Style Resources</w:t>
      </w:r>
    </w:p>
    <w:p>
      <w:pPr>
        <w:pStyle w:val="FirstParagraph"/>
      </w:pPr>
      <w:r>
        <w:t xml:space="preserve">The iSchool has a Writing Resources Moodle site</w:t>
      </w:r>
      <w:r>
        <w:t xml:space="preserve"> </w:t>
      </w:r>
      <w:hyperlink r:id="rId35">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2">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3" w:name="basic-needs-issues"/>
      <w:bookmarkEnd w:id="43"/>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4" w:name="emergency-response-run-hide-fight"/>
      <w:bookmarkEnd w:id="44"/>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5">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6">
        <w:r>
          <w:rPr>
            <w:rStyle w:val="Hyperlink"/>
          </w:rPr>
          <w:t xml:space="preserve">http://police.illinois.edu/dpsapp/wp-content/uploads/2017/08/syllabus-attachment.pdf</w:t>
        </w:r>
      </w:hyperlink>
      <w:r>
        <w:t xml:space="preserve">.</w:t>
      </w:r>
    </w:p>
    <w:p>
      <w:pPr>
        <w:pStyle w:val="Heading1"/>
      </w:pPr>
      <w:bookmarkStart w:id="47" w:name="assignments-and-evaluation"/>
      <w:bookmarkEnd w:id="47"/>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48" w:name="assignments-exercises-grade-distribution"/>
      <w:bookmarkEnd w:id="48"/>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Comprehension quizzes (usually due on Friday)</w:t>
            </w:r>
          </w:p>
        </w:tc>
        <w:tc>
          <w:p>
            <w:pPr>
              <w:pStyle w:val="Compact"/>
              <w:jc w:val="left"/>
            </w:pPr>
            <w:r>
              <w:t xml:space="preserve">15%</w:t>
            </w:r>
          </w:p>
        </w:tc>
      </w:tr>
      <w:tr>
        <w:tc>
          <w:p>
            <w:pPr>
              <w:pStyle w:val="Compact"/>
              <w:jc w:val="left"/>
            </w:pPr>
            <w:r>
              <w:t xml:space="preserve">Exercises and particiaption in class</w:t>
            </w:r>
          </w:p>
        </w:tc>
        <w:tc>
          <w:p>
            <w:pPr>
              <w:pStyle w:val="Compact"/>
              <w:jc w:val="left"/>
            </w:pPr>
            <w:r>
              <w:t xml:space="preserve">15%</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bl>
    <w:p>
      <w:pPr>
        <w:pStyle w:val="Heading3"/>
      </w:pPr>
      <w:bookmarkStart w:id="49" w:name="grading-scale"/>
      <w:bookmarkEnd w:id="49"/>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0" w:name="comprehension-quizzes"/>
      <w:bookmarkEnd w:id="50"/>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you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1" w:name="group-classroom-exercises"/>
      <w:bookmarkEnd w:id="51"/>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2" w:name="group-modeling-projects"/>
      <w:bookmarkEnd w:id="52"/>
      <w:r>
        <w:t xml:space="preserve">Group Modeling Projects</w:t>
      </w:r>
    </w:p>
    <w:p>
      <w:pPr>
        <w:pStyle w:val="FirstParagraph"/>
      </w:pPr>
      <w:r>
        <w:t xml:space="preserve">Analysis and modeling projects completed in groups</w:t>
      </w:r>
    </w:p>
    <w:p>
      <w:pPr>
        <w:pStyle w:val="Heading3"/>
      </w:pPr>
      <w:bookmarkStart w:id="53" w:name="reading-responses-and-homework-assignments"/>
      <w:bookmarkEnd w:id="53"/>
      <w:r>
        <w:t xml:space="preserve">Reading responses and homework assignments</w:t>
      </w:r>
    </w:p>
    <w:p>
      <w:pPr>
        <w:pStyle w:val="FirstParagraph"/>
      </w:pPr>
      <w:r>
        <w:t xml:space="preserve">Reading responses and homework assignments</w:t>
      </w:r>
    </w:p>
    <w:p>
      <w:pPr>
        <w:pStyle w:val="Heading1"/>
      </w:pPr>
      <w:bookmarkStart w:id="54" w:name="topic-schedule"/>
      <w:bookmarkEnd w:id="54"/>
      <w:r>
        <w:t xml:space="preserve">Topic Schedule</w:t>
      </w:r>
    </w:p>
    <w:p>
      <w:pPr>
        <w:pStyle w:val="Heading3"/>
      </w:pPr>
      <w:bookmarkStart w:id="55" w:name="week-1-january-16-and-18"/>
      <w:bookmarkEnd w:id="55"/>
      <w:r>
        <w:t xml:space="preserve">Week 1: January 16 and 18</w:t>
      </w:r>
    </w:p>
    <w:p>
      <w:pPr>
        <w:pStyle w:val="Compact"/>
        <w:numPr>
          <w:numId w:val="1003"/>
          <w:ilvl w:val="0"/>
        </w:numPr>
      </w:pPr>
      <w:r>
        <w:t xml:space="preserve">Propositional Logic, Part 1</w:t>
      </w:r>
    </w:p>
    <w:p>
      <w:pPr>
        <w:pStyle w:val="Compact"/>
        <w:numPr>
          <w:numId w:val="1004"/>
          <w:ilvl w:val="1"/>
        </w:numPr>
      </w:pPr>
      <w:r>
        <w:rPr>
          <w:b/>
        </w:rPr>
        <w:t xml:space="preserve">Required Readings:</w:t>
      </w:r>
      <w:r>
        <w:t xml:space="preserve"> </w:t>
      </w:r>
      <w:r>
        <w:t xml:space="preserve">Benthem et al. 2014a</w:t>
      </w:r>
    </w:p>
    <w:p>
      <w:pPr>
        <w:pStyle w:val="Heading3"/>
      </w:pPr>
      <w:bookmarkStart w:id="56" w:name="week-2-january-23-and-25"/>
      <w:bookmarkEnd w:id="56"/>
      <w:r>
        <w:t xml:space="preserve">Week 2: January 23 and 25</w:t>
      </w:r>
    </w:p>
    <w:p>
      <w:pPr>
        <w:pStyle w:val="Compact"/>
        <w:numPr>
          <w:numId w:val="1005"/>
          <w:ilvl w:val="0"/>
        </w:numPr>
      </w:pPr>
      <w:r>
        <w:t xml:space="preserve">UML Part 1: notation</w:t>
      </w:r>
    </w:p>
    <w:p>
      <w:pPr>
        <w:pStyle w:val="Compact"/>
        <w:numPr>
          <w:numId w:val="1006"/>
          <w:ilvl w:val="1"/>
        </w:numPr>
      </w:pPr>
      <w:r>
        <w:rPr>
          <w:b/>
        </w:rPr>
        <w:t xml:space="preserve">Required Readings:</w:t>
      </w:r>
      <w:r>
        <w:t xml:space="preserve"> </w:t>
      </w:r>
      <w:r>
        <w:t xml:space="preserve">Seidl et al. 2015b</w:t>
      </w:r>
    </w:p>
    <w:p>
      <w:pPr>
        <w:pStyle w:val="Compact"/>
        <w:numPr>
          <w:numId w:val="1005"/>
          <w:ilvl w:val="0"/>
        </w:numPr>
      </w:pPr>
      <w:r>
        <w:t xml:space="preserve">Sets and relations</w:t>
      </w:r>
    </w:p>
    <w:p>
      <w:pPr>
        <w:pStyle w:val="Compact"/>
        <w:numPr>
          <w:numId w:val="1007"/>
          <w:ilvl w:val="1"/>
        </w:numPr>
      </w:pPr>
      <w:r>
        <w:rPr>
          <w:b/>
        </w:rPr>
        <w:t xml:space="preserve">Required Readings:</w:t>
      </w:r>
      <w:r>
        <w:t xml:space="preserve"> </w:t>
      </w:r>
      <w:r>
        <w:t xml:space="preserve">Partee 2006</w:t>
      </w:r>
    </w:p>
    <w:p>
      <w:pPr>
        <w:pStyle w:val="Heading3"/>
      </w:pPr>
      <w:bookmarkStart w:id="57" w:name="week-3-january-30-and-february-1"/>
      <w:bookmarkEnd w:id="57"/>
      <w:r>
        <w:t xml:space="preserve">Week 3: January 30 and February 1</w:t>
      </w:r>
    </w:p>
    <w:p>
      <w:pPr>
        <w:pStyle w:val="Compact"/>
        <w:numPr>
          <w:numId w:val="1008"/>
          <w:ilvl w:val="0"/>
        </w:numPr>
      </w:pPr>
      <w:r>
        <w:t xml:space="preserve">Relational Algebra</w:t>
      </w:r>
    </w:p>
    <w:p>
      <w:pPr>
        <w:pStyle w:val="Compact"/>
        <w:numPr>
          <w:numId w:val="1009"/>
          <w:ilvl w:val="1"/>
        </w:numPr>
      </w:pPr>
      <w:r>
        <w:rPr>
          <w:b/>
        </w:rPr>
        <w:t xml:space="preserve">Required Readings:</w:t>
      </w:r>
      <w:r>
        <w:t xml:space="preserve"> </w:t>
      </w:r>
      <w:r>
        <w:t xml:space="preserve">Wenholz 2012</w:t>
      </w:r>
    </w:p>
    <w:p>
      <w:pPr>
        <w:pStyle w:val="Compact"/>
        <w:numPr>
          <w:numId w:val="1008"/>
          <w:ilvl w:val="0"/>
        </w:numPr>
      </w:pPr>
      <w:r>
        <w:t xml:space="preserve">Relations</w:t>
      </w:r>
    </w:p>
    <w:p>
      <w:pPr>
        <w:pStyle w:val="Compact"/>
        <w:numPr>
          <w:numId w:val="1010"/>
          <w:ilvl w:val="1"/>
        </w:numPr>
      </w:pPr>
      <w:r>
        <w:rPr>
          <w:b/>
        </w:rPr>
        <w:t xml:space="preserve">Required Readings:</w:t>
      </w:r>
      <w:r>
        <w:t xml:space="preserve"> </w:t>
      </w:r>
      <w:r>
        <w:t xml:space="preserve">RELATIONSREADING</w:t>
      </w:r>
    </w:p>
    <w:p>
      <w:pPr>
        <w:pStyle w:val="Heading3"/>
      </w:pPr>
      <w:bookmarkStart w:id="58" w:name="week-4-february-6-and-8"/>
      <w:bookmarkEnd w:id="58"/>
      <w:r>
        <w:t xml:space="preserve">Week 4: February 6 and 8</w:t>
      </w:r>
    </w:p>
    <w:p>
      <w:pPr>
        <w:pStyle w:val="Compact"/>
        <w:numPr>
          <w:numId w:val="1011"/>
          <w:ilvl w:val="0"/>
        </w:numPr>
      </w:pPr>
      <w:r>
        <w:t xml:space="preserve">Semantics and Interpretation, Part 1</w:t>
      </w:r>
    </w:p>
    <w:p>
      <w:pPr>
        <w:pStyle w:val="Compact"/>
        <w:numPr>
          <w:numId w:val="1012"/>
          <w:ilvl w:val="1"/>
        </w:numPr>
      </w:pPr>
      <w:r>
        <w:rPr>
          <w:b/>
        </w:rPr>
        <w:t xml:space="preserve">Required Readings:</w:t>
      </w:r>
      <w:r>
        <w:t xml:space="preserve"> </w:t>
      </w:r>
      <w:r>
        <w:t xml:space="preserve">Bach 1989a, 1989b</w:t>
      </w:r>
    </w:p>
    <w:p>
      <w:pPr>
        <w:pStyle w:val="Heading3"/>
      </w:pPr>
      <w:bookmarkStart w:id="59" w:name="week-5-february-13-and-15"/>
      <w:bookmarkEnd w:id="59"/>
      <w:r>
        <w:t xml:space="preserve">Week 5: February 13 and 15</w:t>
      </w:r>
    </w:p>
    <w:p>
      <w:pPr>
        <w:pStyle w:val="Compact"/>
        <w:numPr>
          <w:numId w:val="1013"/>
          <w:ilvl w:val="0"/>
        </w:numPr>
      </w:pPr>
      <w:r>
        <w:t xml:space="preserve">Models and Domains</w:t>
      </w:r>
    </w:p>
    <w:p>
      <w:pPr>
        <w:pStyle w:val="Compact"/>
        <w:numPr>
          <w:numId w:val="1014"/>
          <w:ilvl w:val="1"/>
        </w:numPr>
      </w:pPr>
      <w:r>
        <w:rPr>
          <w:b/>
        </w:rPr>
        <w:t xml:space="preserve">Required Readings:</w:t>
      </w:r>
      <w:r>
        <w:t xml:space="preserve"> </w:t>
      </w:r>
      <w:r>
        <w:t xml:space="preserve">Jubien 1997a, 1997b; Seidl et al. 2015a</w:t>
      </w:r>
    </w:p>
    <w:p>
      <w:pPr>
        <w:pStyle w:val="Heading3"/>
      </w:pPr>
      <w:bookmarkStart w:id="60" w:name="week-6-february-20-and-22"/>
      <w:bookmarkEnd w:id="60"/>
      <w:r>
        <w:t xml:space="preserve">Week 6: February 20 and 22</w:t>
      </w:r>
    </w:p>
    <w:p>
      <w:pPr>
        <w:pStyle w:val="Compact"/>
        <w:numPr>
          <w:numId w:val="1015"/>
          <w:ilvl w:val="0"/>
        </w:numPr>
      </w:pPr>
      <w:r>
        <w:t xml:space="preserve">Propositional Logic, Part 2</w:t>
      </w:r>
    </w:p>
    <w:p>
      <w:pPr>
        <w:pStyle w:val="Compact"/>
        <w:numPr>
          <w:numId w:val="1016"/>
          <w:ilvl w:val="1"/>
        </w:numPr>
      </w:pPr>
      <w:r>
        <w:rPr>
          <w:b/>
        </w:rPr>
        <w:t xml:space="preserve">Required Readings:</w:t>
      </w:r>
      <w:r>
        <w:t xml:space="preserve"> </w:t>
      </w:r>
      <w:r>
        <w:t xml:space="preserve">Bach 1989a</w:t>
      </w:r>
    </w:p>
    <w:p>
      <w:pPr>
        <w:pStyle w:val="Heading3"/>
      </w:pPr>
      <w:bookmarkStart w:id="61" w:name="week-7-february-27-and-march-1"/>
      <w:bookmarkEnd w:id="61"/>
      <w:r>
        <w:t xml:space="preserve">Week 7: February 27 and March 1</w:t>
      </w:r>
    </w:p>
    <w:p>
      <w:pPr>
        <w:pStyle w:val="Compact"/>
        <w:numPr>
          <w:numId w:val="1017"/>
          <w:ilvl w:val="0"/>
        </w:numPr>
      </w:pPr>
      <w:r>
        <w:t xml:space="preserve">Predicate Logic, Part 1</w:t>
      </w:r>
    </w:p>
    <w:p>
      <w:pPr>
        <w:pStyle w:val="Compact"/>
        <w:numPr>
          <w:numId w:val="1018"/>
          <w:ilvl w:val="1"/>
        </w:numPr>
      </w:pPr>
      <w:r>
        <w:rPr>
          <w:b/>
        </w:rPr>
        <w:t xml:space="preserve">Required Readings:</w:t>
      </w:r>
      <w:r>
        <w:t xml:space="preserve"> </w:t>
      </w:r>
      <w:r>
        <w:t xml:space="preserve">Benthem et al. 2014b</w:t>
      </w:r>
    </w:p>
    <w:p>
      <w:pPr>
        <w:pStyle w:val="Heading3"/>
      </w:pPr>
      <w:bookmarkStart w:id="62" w:name="week-8-march-6-and-8"/>
      <w:bookmarkEnd w:id="62"/>
      <w:r>
        <w:t xml:space="preserve">Week 8: March 6 and 8</w:t>
      </w:r>
    </w:p>
    <w:p>
      <w:pPr>
        <w:pStyle w:val="Compact"/>
        <w:numPr>
          <w:numId w:val="1019"/>
          <w:ilvl w:val="0"/>
        </w:numPr>
      </w:pPr>
      <w:r>
        <w:t xml:space="preserve">Syntax and Grammar</w:t>
      </w:r>
    </w:p>
    <w:p>
      <w:pPr>
        <w:pStyle w:val="Compact"/>
        <w:numPr>
          <w:numId w:val="1020"/>
          <w:ilvl w:val="1"/>
        </w:numPr>
      </w:pPr>
      <w:r>
        <w:rPr>
          <w:b/>
        </w:rPr>
        <w:t xml:space="preserve">Required Readings:</w:t>
      </w:r>
      <w:r>
        <w:t xml:space="preserve"> </w:t>
      </w:r>
      <w:r>
        <w:t xml:space="preserve">Rosen 1988</w:t>
      </w:r>
    </w:p>
    <w:p>
      <w:pPr>
        <w:pStyle w:val="Heading3"/>
      </w:pPr>
      <w:bookmarkStart w:id="63" w:name="week-9-march-13-and-15"/>
      <w:bookmarkEnd w:id="63"/>
      <w:r>
        <w:t xml:space="preserve">Week 9: March 13 and 15</w:t>
      </w:r>
    </w:p>
    <w:p>
      <w:pPr>
        <w:pStyle w:val="Compact"/>
        <w:numPr>
          <w:numId w:val="1021"/>
          <w:ilvl w:val="0"/>
        </w:numPr>
      </w:pPr>
      <w:r>
        <w:t xml:space="preserve">Graphs</w:t>
      </w:r>
    </w:p>
    <w:p>
      <w:pPr>
        <w:pStyle w:val="Compact"/>
        <w:numPr>
          <w:numId w:val="1022"/>
          <w:ilvl w:val="1"/>
        </w:numPr>
      </w:pPr>
      <w:r>
        <w:rPr>
          <w:b/>
        </w:rPr>
        <w:t xml:space="preserve">Required Readings:</w:t>
      </w:r>
      <w:r>
        <w:t xml:space="preserve"> </w:t>
      </w:r>
      <w:r>
        <w:t xml:space="preserve">GRAPHSREADING</w:t>
      </w:r>
    </w:p>
    <w:p>
      <w:pPr>
        <w:pStyle w:val="Compact"/>
        <w:numPr>
          <w:numId w:val="1021"/>
          <w:ilvl w:val="0"/>
        </w:numPr>
      </w:pPr>
      <w:r>
        <w:t xml:space="preserve">Automata</w:t>
      </w:r>
    </w:p>
    <w:p>
      <w:pPr>
        <w:pStyle w:val="Compact"/>
        <w:numPr>
          <w:numId w:val="1023"/>
          <w:ilvl w:val="1"/>
        </w:numPr>
      </w:pPr>
      <w:r>
        <w:rPr>
          <w:b/>
        </w:rPr>
        <w:t xml:space="preserve">Required Readings:</w:t>
      </w:r>
      <w:r>
        <w:t xml:space="preserve"> </w:t>
      </w:r>
      <w:r>
        <w:t xml:space="preserve">AUTOMATAREADING</w:t>
      </w:r>
    </w:p>
    <w:p>
      <w:pPr>
        <w:pStyle w:val="Heading3"/>
      </w:pPr>
      <w:bookmarkStart w:id="64" w:name="spring-holiday-march-20-and-22"/>
      <w:bookmarkEnd w:id="64"/>
      <w:r>
        <w:t xml:space="preserve">Spring Holiday: March 20 and 22</w:t>
      </w:r>
    </w:p>
    <w:p>
      <w:pPr>
        <w:pStyle w:val="Heading3"/>
      </w:pPr>
      <w:bookmarkStart w:id="65" w:name="week-11-march-27-and-29"/>
      <w:bookmarkEnd w:id="65"/>
      <w:r>
        <w:t xml:space="preserve">Week 11: March 27 and 29</w:t>
      </w:r>
    </w:p>
    <w:p>
      <w:pPr>
        <w:pStyle w:val="Compact"/>
        <w:numPr>
          <w:numId w:val="1024"/>
          <w:ilvl w:val="0"/>
        </w:numPr>
      </w:pPr>
      <w:r>
        <w:t xml:space="preserve">Conceptual Graphs</w:t>
      </w:r>
    </w:p>
    <w:p>
      <w:pPr>
        <w:pStyle w:val="Compact"/>
        <w:numPr>
          <w:numId w:val="1025"/>
          <w:ilvl w:val="1"/>
        </w:numPr>
      </w:pPr>
      <w:r>
        <w:rPr>
          <w:b/>
        </w:rPr>
        <w:t xml:space="preserve">Required Readings:</w:t>
      </w:r>
      <w:r>
        <w:t xml:space="preserve"> </w:t>
      </w:r>
      <w:r>
        <w:t xml:space="preserve">CONCEPTUALGRAPHSREADING</w:t>
      </w:r>
    </w:p>
    <w:p>
      <w:pPr>
        <w:pStyle w:val="Compact"/>
        <w:numPr>
          <w:numId w:val="1024"/>
          <w:ilvl w:val="0"/>
        </w:numPr>
      </w:pPr>
      <w:r>
        <w:t xml:space="preserve">Semantic Web</w:t>
      </w:r>
    </w:p>
    <w:p>
      <w:pPr>
        <w:pStyle w:val="Compact"/>
        <w:numPr>
          <w:numId w:val="1026"/>
          <w:ilvl w:val="1"/>
        </w:numPr>
      </w:pPr>
      <w:r>
        <w:rPr>
          <w:b/>
        </w:rPr>
        <w:t xml:space="preserve">Required Readings:</w:t>
      </w:r>
      <w:r>
        <w:t xml:space="preserve"> </w:t>
      </w:r>
      <w:r>
        <w:t xml:space="preserve">SEMANTICWEBREADING</w:t>
      </w:r>
    </w:p>
    <w:p>
      <w:pPr>
        <w:pStyle w:val="Heading3"/>
      </w:pPr>
      <w:bookmarkStart w:id="66" w:name="week-12-april-3-and-5"/>
      <w:bookmarkEnd w:id="66"/>
      <w:r>
        <w:t xml:space="preserve">Week 12: April 3 and 5</w:t>
      </w:r>
    </w:p>
    <w:p>
      <w:pPr>
        <w:pStyle w:val="Compact"/>
        <w:numPr>
          <w:numId w:val="1027"/>
          <w:ilvl w:val="0"/>
        </w:numPr>
      </w:pPr>
      <w:r>
        <w:t xml:space="preserve">The RDF model and language</w:t>
      </w:r>
    </w:p>
    <w:p>
      <w:pPr>
        <w:pStyle w:val="Compact"/>
        <w:numPr>
          <w:numId w:val="1028"/>
          <w:ilvl w:val="1"/>
        </w:numPr>
      </w:pPr>
      <w:r>
        <w:rPr>
          <w:b/>
        </w:rPr>
        <w:t xml:space="preserve">Required Readings:</w:t>
      </w:r>
      <w:r>
        <w:t xml:space="preserve"> </w:t>
      </w:r>
      <w:r>
        <w:t xml:space="preserve">Manola et al. 2014</w:t>
      </w:r>
    </w:p>
    <w:p>
      <w:pPr>
        <w:pStyle w:val="Heading3"/>
      </w:pPr>
      <w:bookmarkStart w:id="67" w:name="thanksgiving-holiday-april-10-and-13"/>
      <w:bookmarkEnd w:id="67"/>
      <w:r>
        <w:t xml:space="preserve">Thanksgiving Holiday: April 10 and 13</w:t>
      </w:r>
    </w:p>
    <w:p>
      <w:pPr>
        <w:pStyle w:val="Compact"/>
        <w:numPr>
          <w:numId w:val="1029"/>
          <w:ilvl w:val="0"/>
        </w:numPr>
      </w:pPr>
      <w:r>
        <w:t xml:space="preserve">Description Logics</w:t>
      </w:r>
    </w:p>
    <w:p>
      <w:pPr>
        <w:pStyle w:val="Compact"/>
        <w:numPr>
          <w:numId w:val="1030"/>
          <w:ilvl w:val="1"/>
        </w:numPr>
      </w:pPr>
      <w:r>
        <w:rPr>
          <w:b/>
        </w:rPr>
        <w:t xml:space="preserve">Required Readings:</w:t>
      </w:r>
      <w:r>
        <w:t xml:space="preserve"> </w:t>
      </w:r>
      <w:r>
        <w:t xml:space="preserve">Krötzsch et al. 2012</w:t>
      </w:r>
    </w:p>
    <w:p>
      <w:pPr>
        <w:pStyle w:val="Heading3"/>
      </w:pPr>
      <w:bookmarkStart w:id="68" w:name="week-14-april-17-and-19"/>
      <w:bookmarkEnd w:id="68"/>
      <w:r>
        <w:t xml:space="preserve">Week 14: April 17 and 19</w:t>
      </w:r>
    </w:p>
    <w:p>
      <w:pPr>
        <w:pStyle w:val="Compact"/>
        <w:numPr>
          <w:numId w:val="1031"/>
          <w:ilvl w:val="0"/>
        </w:numPr>
      </w:pPr>
      <w:r>
        <w:t xml:space="preserve">Ontologies</w:t>
      </w:r>
    </w:p>
    <w:p>
      <w:pPr>
        <w:pStyle w:val="Compact"/>
        <w:numPr>
          <w:numId w:val="1032"/>
          <w:ilvl w:val="1"/>
        </w:numPr>
      </w:pPr>
      <w:r>
        <w:rPr>
          <w:b/>
        </w:rPr>
        <w:t xml:space="preserve">Required Readings:</w:t>
      </w:r>
      <w:r>
        <w:t xml:space="preserve"> </w:t>
      </w:r>
      <w:r>
        <w:t xml:space="preserve">Hitzler et al. 2012</w:t>
      </w:r>
    </w:p>
    <w:p>
      <w:pPr>
        <w:pStyle w:val="Heading3"/>
      </w:pPr>
      <w:bookmarkStart w:id="69" w:name="week-15-april-24-and-26"/>
      <w:bookmarkEnd w:id="69"/>
      <w:r>
        <w:t xml:space="preserve">Week 15: April 24 and 26</w:t>
      </w:r>
    </w:p>
    <w:p>
      <w:pPr>
        <w:pStyle w:val="Heading3"/>
      </w:pPr>
      <w:bookmarkStart w:id="70" w:name="week-16-may-1"/>
      <w:bookmarkEnd w:id="70"/>
      <w:r>
        <w:t xml:space="preserve">Week 16: May 1</w:t>
      </w:r>
    </w:p>
    <w:p>
      <w:pPr>
        <w:pStyle w:val="Compact"/>
        <w:numPr>
          <w:numId w:val="1033"/>
          <w:ilvl w:val="0"/>
        </w:numPr>
      </w:pPr>
      <w:r>
        <w:t xml:space="preserve">Wrapup and Evaluation</w:t>
      </w:r>
    </w:p>
    <w:p>
      <w:pPr>
        <w:pStyle w:val="Heading1"/>
      </w:pPr>
      <w:bookmarkStart w:id="71" w:name="readings"/>
      <w:bookmarkEnd w:id="71"/>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72">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72">
        <w:r>
          <w:rPr>
            <w:rStyle w:val="Hyperlink"/>
          </w:rPr>
          <w:t xml:space="preserve">https://uofi.box.com/s/lfqsrzjkhzdzml9d2g5w0ndtyvn0ndom</w:t>
        </w:r>
      </w:hyperlink>
      <w:r>
        <w:t xml:space="preserve">.</w:t>
      </w:r>
    </w:p>
    <w:p>
      <w:pPr>
        <w:pStyle w:val="Bibliography"/>
      </w:pPr>
      <w:r>
        <w:t xml:space="preserve">Benthem, J van, Ditmarsch, H van, Eijck, J van, and Jaspars, J. 2014a. “Chapter 2: Propositional Logic”. In</w:t>
      </w:r>
      <w:r>
        <w:t xml:space="preserve"> </w:t>
      </w:r>
      <w:r>
        <w:rPr>
          <w:i/>
        </w:rPr>
        <w:t xml:space="preserve">Logic in Action</w:t>
      </w:r>
      <w:r>
        <w:t xml:space="preserve">. Amsterdam, NL, 2.1–2.37.</w:t>
      </w:r>
      <w:r>
        <w:t xml:space="preserve"> </w:t>
      </w:r>
      <w:hyperlink r:id="rId73">
        <w:r>
          <w:rPr>
            <w:rStyle w:val="Hyperlink"/>
          </w:rPr>
          <w:t xml:space="preserve">http://www.logicinaction.org/docs/ch2.pdf</w:t>
        </w:r>
      </w:hyperlink>
      <w:r>
        <w:t xml:space="preserve">.</w:t>
      </w:r>
    </w:p>
    <w:p>
      <w:pPr>
        <w:pStyle w:val="Bibliography"/>
      </w:pPr>
      <w:r>
        <w:t xml:space="preserve">Benthem, J van, Ditmarsch, H van, Eijck, J van, and Jaspars, J. 2014b. “Chapter 4: The World According to Predicate Logic”. In</w:t>
      </w:r>
      <w:r>
        <w:t xml:space="preserve"> </w:t>
      </w:r>
      <w:r>
        <w:rPr>
          <w:i/>
        </w:rPr>
        <w:t xml:space="preserve">Logic in Action</w:t>
      </w:r>
      <w:r>
        <w:t xml:space="preserve">. Amsterdam, NL, 4.1–4.53.</w:t>
      </w:r>
      <w:r>
        <w:t xml:space="preserve"> </w:t>
      </w:r>
      <w:hyperlink r:id="rId74">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75">
        <w:r>
          <w:rPr>
            <w:rStyle w:val="Hyperlink"/>
          </w:rPr>
          <w:t xml:space="preserve">http://www.w3.org/TR/owl2-primer/</w:t>
        </w:r>
      </w:hyperlink>
      <w:r>
        <w:t xml:space="preserve">.</w:t>
      </w:r>
    </w:p>
    <w:p>
      <w:pPr>
        <w:pStyle w:val="Bibliography"/>
      </w:pPr>
      <w:r>
        <w:t xml:space="preserve">Jubien, M. 1997a. “Numbers”. In</w:t>
      </w:r>
      <w:r>
        <w:t xml:space="preserve"> </w:t>
      </w:r>
      <w:r>
        <w:rPr>
          <w:i/>
        </w:rPr>
        <w:t xml:space="preserve">Contemporary Metaphysics: An Introduction</w:t>
      </w:r>
      <w:r>
        <w:t xml:space="preserve">. Cambridge MA, 24–35.</w:t>
      </w:r>
      <w:r>
        <w:t xml:space="preserve"> </w:t>
      </w:r>
      <w:hyperlink r:id="rId76">
        <w:r>
          <w:rPr>
            <w:rStyle w:val="Hyperlink"/>
          </w:rPr>
          <w:t xml:space="preserve">https://uofi.box.com/s/jckt75igz7p4we1yaaoub64f54t8na1c</w:t>
        </w:r>
      </w:hyperlink>
      <w:r>
        <w:t xml:space="preserve">.</w:t>
      </w:r>
    </w:p>
    <w:p>
      <w:pPr>
        <w:pStyle w:val="Bibliography"/>
      </w:pPr>
      <w:r>
        <w:t xml:space="preserve">Jubien, M. 1997b. “Platonism”. In</w:t>
      </w:r>
      <w:r>
        <w:t xml:space="preserve"> </w:t>
      </w:r>
      <w:r>
        <w:rPr>
          <w:i/>
        </w:rPr>
        <w:t xml:space="preserve">Contemporary Metaphysics: An Introduction</w:t>
      </w:r>
      <w:r>
        <w:t xml:space="preserve">. Cambridge MA, 36–62.</w:t>
      </w:r>
      <w:r>
        <w:t xml:space="preserve"> </w:t>
      </w:r>
      <w:hyperlink r:id="rId76">
        <w:r>
          <w:rPr>
            <w:rStyle w:val="Hyperlink"/>
          </w:rPr>
          <w:t xml:space="preserve">https://uofi.box.com/s/jckt75igz7p4we1yaaoub64f54t8na1c</w:t>
        </w:r>
      </w:hyperlink>
      <w:r>
        <w:t xml:space="preserve">.</w:t>
      </w:r>
    </w:p>
    <w:p>
      <w:pPr>
        <w:pStyle w:val="Bibliography"/>
      </w:pPr>
      <w:r>
        <w:t xml:space="preserve">Krötzsch, M, Simancík, F, and Horrocks, I. 2012. “A Description Logic Primer”.</w:t>
      </w:r>
      <w:r>
        <w:t xml:space="preserve"> </w:t>
      </w:r>
      <w:r>
        <w:rPr>
          <w:i/>
        </w:rPr>
        <w:t xml:space="preserve">arXiv preprint arXiv:1201.4089</w:t>
      </w:r>
      <w:r>
        <w:t xml:space="preserve">.</w:t>
      </w:r>
      <w:r>
        <w:t xml:space="preserve"> </w:t>
      </w:r>
      <w:hyperlink r:id="rId77">
        <w:r>
          <w:rPr>
            <w:rStyle w:val="Hyperlink"/>
          </w:rPr>
          <w:t xml:space="preserve">http://arxiv.org/abs/1201.4089</w:t>
        </w:r>
      </w:hyperlink>
      <w:r>
        <w:t xml:space="preserve">.</w:t>
      </w:r>
    </w:p>
    <w:p>
      <w:pPr>
        <w:pStyle w:val="Bibliography"/>
      </w:pPr>
      <w:r>
        <w:t xml:space="preserve">Manola, F, Miller, E, and McBride, B. 2014. “RDF 1.1 Primer”.</w:t>
      </w:r>
      <w:r>
        <w:t xml:space="preserve"> </w:t>
      </w:r>
      <w:hyperlink r:id="rId78">
        <w:r>
          <w:rPr>
            <w:rStyle w:val="Hyperlink"/>
          </w:rPr>
          <w:t xml:space="preserve">https://www.w3.org/TR/2014/NOTE-rdf11-primer-20140624/</w:t>
        </w:r>
      </w:hyperlink>
      <w:r>
        <w:t xml:space="preserve">.</w:t>
      </w:r>
    </w:p>
    <w:p>
      <w:pPr>
        <w:pStyle w:val="Bibliography"/>
      </w:pPr>
      <w:r>
        <w:t xml:space="preserve">Partee, B H. 2006. “Basic Concepts of Set Theory, Functions and Relations”.</w:t>
      </w:r>
      <w:r>
        <w:t xml:space="preserve"> </w:t>
      </w:r>
      <w:hyperlink r:id="rId79">
        <w:r>
          <w:rPr>
            <w:rStyle w:val="Hyperlink"/>
          </w:rPr>
          <w:t xml:space="preserve">http://people.umass.edu/partee/NZ_2006/Set%20Theory%20Basics.pdf</w:t>
        </w:r>
      </w:hyperlink>
      <w:r>
        <w:t xml:space="preserve">.</w:t>
      </w:r>
    </w:p>
    <w:p>
      <w:pPr>
        <w:pStyle w:val="Bibliography"/>
      </w:pPr>
      <w:r>
        <w:t xml:space="preserve">Rosen, K H. 1988. “Languages and Grammars”. In</w:t>
      </w:r>
      <w:r>
        <w:t xml:space="preserve"> </w:t>
      </w:r>
      <w:r>
        <w:rPr>
          <w:i/>
        </w:rPr>
        <w:t xml:space="preserve">Discrete Mathematics and its Applications</w:t>
      </w:r>
      <w:r>
        <w:t xml:space="preserve">. New York, 552–563.</w:t>
      </w:r>
      <w:r>
        <w:t xml:space="preserve"> </w:t>
      </w:r>
      <w:hyperlink r:id="rId80">
        <w:r>
          <w:rPr>
            <w:rStyle w:val="Hyperlink"/>
          </w:rPr>
          <w:t xml:space="preserve">https://uofi.box.com/s/nomrry0e4cone88xvnciaf14gg93t68h</w:t>
        </w:r>
      </w:hyperlink>
      <w:r>
        <w:t xml:space="preserve">.</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81">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82">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83">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1b80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1fcf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d9eda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admin.illinois.edu/policy/code/article1_part4_1-401.html" TargetMode="External" /><Relationship Type="http://schemas.openxmlformats.org/officeDocument/2006/relationships/hyperlink" Id="rId77" Target="http://arxiv.org/abs/1201.4089" TargetMode="External" /><Relationship Type="http://schemas.openxmlformats.org/officeDocument/2006/relationships/hyperlink" Id="rId83"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81" Target="http://dx.doi.org/10.1007/978-3-319-12742-2_1" TargetMode="External" /><Relationship Type="http://schemas.openxmlformats.org/officeDocument/2006/relationships/hyperlink" Id="rId82" Target="http://dx.doi.org/10.1007/978-3-319-12742-2_4" TargetMode="External" /><Relationship Type="http://schemas.openxmlformats.org/officeDocument/2006/relationships/hyperlink" Id="rId79" Target="http://people.umass.edu/partee/NZ_2006/Set%20Theory%20Basics.pdf"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3" Target="http://www.logicinaction.org/docs/ch2.pdf" TargetMode="External" /><Relationship Type="http://schemas.openxmlformats.org/officeDocument/2006/relationships/hyperlink" Id="rId74" Target="http://www.logicinaction.org/docs/ch4.pdf" TargetMode="External" /><Relationship Type="http://schemas.openxmlformats.org/officeDocument/2006/relationships/hyperlink" Id="rId75"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6" Target="https://uofi.box.com/s/jckt75igz7p4we1yaaoub64f54t8na1c" TargetMode="External" /><Relationship Type="http://schemas.openxmlformats.org/officeDocument/2006/relationships/hyperlink" Id="rId72" Target="https://uofi.box.com/s/lfqsrzjkhzdzml9d2g5w0ndtyvn0ndom" TargetMode="External" /><Relationship Type="http://schemas.openxmlformats.org/officeDocument/2006/relationships/hyperlink" Id="rId80" Target="https://uofi.box.com/s/nomrry0e4cone88xvnciaf14gg93t68h" TargetMode="External" /><Relationship Type="http://schemas.openxmlformats.org/officeDocument/2006/relationships/hyperlink" Id="rId78" Target="https://www.w3.org/TR/2014/NOTE-rdf11-primer-20140624/" TargetMode="External" /></Relationships>
</file>

<file path=word/_rels/footnotes.xml.rels><?xml version="1.0" encoding="UTF-8"?>
<Relationships xmlns="http://schemas.openxmlformats.org/package/2006/relationships"><Relationship Type="http://schemas.openxmlformats.org/officeDocument/2006/relationships/hyperlink" Id="rId38" Target="http://admin.illinois.edu/policy/code/article1_part4_1-401.html" TargetMode="External" /><Relationship Type="http://schemas.openxmlformats.org/officeDocument/2006/relationships/hyperlink" Id="rId77" Target="http://arxiv.org/abs/1201.4089" TargetMode="External" /><Relationship Type="http://schemas.openxmlformats.org/officeDocument/2006/relationships/hyperlink" Id="rId83"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81" Target="http://dx.doi.org/10.1007/978-3-319-12742-2_1" TargetMode="External" /><Relationship Type="http://schemas.openxmlformats.org/officeDocument/2006/relationships/hyperlink" Id="rId82" Target="http://dx.doi.org/10.1007/978-3-319-12742-2_4" TargetMode="External" /><Relationship Type="http://schemas.openxmlformats.org/officeDocument/2006/relationships/hyperlink" Id="rId79" Target="http://people.umass.edu/partee/NZ_2006/Set%20Theory%20Basics.pdf"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3" Target="http://www.logicinaction.org/docs/ch2.pdf" TargetMode="External" /><Relationship Type="http://schemas.openxmlformats.org/officeDocument/2006/relationships/hyperlink" Id="rId74" Target="http://www.logicinaction.org/docs/ch4.pdf" TargetMode="External" /><Relationship Type="http://schemas.openxmlformats.org/officeDocument/2006/relationships/hyperlink" Id="rId75"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6" Target="https://uofi.box.com/s/jckt75igz7p4we1yaaoub64f54t8na1c" TargetMode="External" /><Relationship Type="http://schemas.openxmlformats.org/officeDocument/2006/relationships/hyperlink" Id="rId72" Target="https://uofi.box.com/s/lfqsrzjkhzdzml9d2g5w0ndtyvn0ndom" TargetMode="External" /><Relationship Type="http://schemas.openxmlformats.org/officeDocument/2006/relationships/hyperlink" Id="rId80" Target="https://uofi.box.com/s/nomrry0e4cone88xvnciaf14gg93t68h" TargetMode="External" /><Relationship Type="http://schemas.openxmlformats.org/officeDocument/2006/relationships/hyperlink" Id="rId78" Target="https://www.w3.org/TR/2014/NOTE-rdf11-primer-201406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