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Fri,</w:t>
      </w:r>
      <w:r>
        <w:t xml:space="preserve"> </w:t>
      </w:r>
      <w:r>
        <w:t xml:space="preserve">Jan</w:t>
      </w:r>
      <w:r>
        <w:t xml:space="preserve"> </w:t>
      </w:r>
      <w:r>
        <w:t xml:space="preserve">12,</w:t>
      </w:r>
      <w:r>
        <w:t xml:space="preserve"> </w:t>
      </w:r>
      <w:r>
        <w:t xml:space="preserve">2018</w:t>
      </w:r>
      <w:r>
        <w:t xml:space="preserve"> </w:t>
      </w:r>
      <w:r>
        <w:t xml:space="preserve">3:59:26</w:t>
      </w:r>
      <w:r>
        <w:t xml:space="preserve"> </w:t>
      </w:r>
      <w:r>
        <w:t xml:space="preserve">PM</w:t>
      </w:r>
    </w:p>
    <w:p>
      <w:pPr>
        <w:pStyle w:val="FirstParagraph"/>
      </w:pPr>
      <w:r>
        <w:t xml:space="preserve">IS561-B</w:t>
      </w:r>
      <w:r>
        <w:br w:type="textWrapping"/>
      </w:r>
      <w:r>
        <w:t xml:space="preserve">Spring 2018</w:t>
      </w:r>
      <w:r>
        <w:br w:type="textWrapping"/>
      </w:r>
      <w:r>
        <w:t xml:space="preserve">Tuesday, Thursday 5:00 to 6:20 PM</w:t>
      </w:r>
      <w:r>
        <w:br w:type="textWrapping"/>
      </w:r>
      <w:r>
        <w:t xml:space="preserve">209 Huff Hall</w:t>
      </w:r>
      <w:r>
        <w:br w:type="textWrapping"/>
      </w:r>
      <w:r>
        <w:t xml:space="preserve">4 GR hours</w:t>
      </w:r>
    </w:p>
    <w:p>
      <w:pPr>
        <w:pStyle w:val="BodyText"/>
      </w:pPr>
      <w:r>
        <w:t xml:space="preserve">Instructor: Jodi Schneider</w:t>
      </w:r>
      <w:r>
        <w:br w:type="textWrapping"/>
      </w:r>
      <w:r>
        <w:t xml:space="preserve">Email: jodi@illinois.edu (Best way to contact me – I generally respond within 24 hours)</w:t>
      </w:r>
      <w:r>
        <w:br w:type="textWrapping"/>
      </w:r>
      <w:r>
        <w:t xml:space="preserve">Office: LIS 334</w:t>
      </w:r>
      <w:r>
        <w:br w:type="textWrapping"/>
      </w:r>
      <w:r>
        <w:t xml:space="preserve">Office Hours: TBD, after class, and by appointment</w:t>
      </w:r>
      <w:r>
        <w:br w:type="textWrapping"/>
      </w:r>
      <w:r>
        <w:t xml:space="preserve">Phone: (217) 300-4328</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0-week-before-class"/>
      <w:bookmarkEnd w:id="55"/>
      <w:r>
        <w:t xml:space="preserve">Week 0: Week before class</w:t>
      </w:r>
    </w:p>
    <w:p>
      <w:pPr>
        <w:pStyle w:val="Compact"/>
        <w:numPr>
          <w:numId w:val="1003"/>
          <w:ilvl w:val="0"/>
        </w:numPr>
      </w:pPr>
      <w:r>
        <w:t xml:space="preserve">Models and Modeling</w:t>
      </w:r>
    </w:p>
    <w:p>
      <w:pPr>
        <w:pStyle w:val="Compact"/>
        <w:numPr>
          <w:numId w:val="1004"/>
          <w:ilvl w:val="1"/>
        </w:numPr>
      </w:pPr>
      <w:r>
        <w:rPr>
          <w:b/>
        </w:rPr>
        <w:t xml:space="preserve">Required Readings:</w:t>
      </w:r>
      <w:r>
        <w:t xml:space="preserve"> </w:t>
      </w:r>
      <w:r>
        <w:t xml:space="preserve">Seidl et al. 2015a</w:t>
      </w:r>
    </w:p>
    <w:p>
      <w:pPr>
        <w:pStyle w:val="Heading3"/>
      </w:pPr>
      <w:bookmarkStart w:id="56" w:name="week-1-january-16-and-18"/>
      <w:bookmarkEnd w:id="56"/>
      <w:r>
        <w:t xml:space="preserve">Week 1: January 16 and 18</w:t>
      </w:r>
    </w:p>
    <w:p>
      <w:pPr>
        <w:pStyle w:val="Compact"/>
        <w:numPr>
          <w:numId w:val="1005"/>
          <w:ilvl w:val="0"/>
        </w:numPr>
      </w:pPr>
      <w:r>
        <w:t xml:space="preserve">Logic and Foundations</w:t>
      </w:r>
    </w:p>
    <w:p>
      <w:pPr>
        <w:pStyle w:val="Compact"/>
        <w:numPr>
          <w:numId w:val="1006"/>
          <w:ilvl w:val="1"/>
        </w:numPr>
      </w:pPr>
      <w:r>
        <w:rPr>
          <w:b/>
        </w:rPr>
        <w:t xml:space="preserve">Required Readings:</w:t>
      </w:r>
      <w:r>
        <w:t xml:space="preserve"> </w:t>
      </w:r>
      <w:r>
        <w:t xml:space="preserve">Rosen 2011c</w:t>
      </w:r>
    </w:p>
    <w:p>
      <w:pPr>
        <w:pStyle w:val="Heading3"/>
      </w:pPr>
      <w:bookmarkStart w:id="57" w:name="week-2-january-23-and-25"/>
      <w:bookmarkEnd w:id="57"/>
      <w:r>
        <w:t xml:space="preserve">Week 2: January 23 and 25</w:t>
      </w:r>
    </w:p>
    <w:p>
      <w:pPr>
        <w:pStyle w:val="Compact"/>
        <w:numPr>
          <w:numId w:val="1007"/>
          <w:ilvl w:val="0"/>
        </w:numPr>
      </w:pPr>
      <w:r>
        <w:t xml:space="preserve">Sets and relations</w:t>
      </w:r>
    </w:p>
    <w:p>
      <w:pPr>
        <w:pStyle w:val="Compact"/>
        <w:numPr>
          <w:numId w:val="1008"/>
          <w:ilvl w:val="1"/>
        </w:numPr>
      </w:pPr>
      <w:r>
        <w:rPr>
          <w:b/>
        </w:rPr>
        <w:t xml:space="preserve">Required Readings:</w:t>
      </w:r>
      <w:r>
        <w:t xml:space="preserve"> </w:t>
      </w:r>
      <w:r>
        <w:t xml:space="preserve">Rosen 2011a</w:t>
      </w:r>
    </w:p>
    <w:p>
      <w:pPr>
        <w:pStyle w:val="Compact"/>
        <w:numPr>
          <w:numId w:val="1007"/>
          <w:ilvl w:val="0"/>
        </w:numPr>
      </w:pPr>
      <w:r>
        <w:t xml:space="preserve">Class Diagrams</w:t>
      </w:r>
    </w:p>
    <w:p>
      <w:pPr>
        <w:pStyle w:val="Compact"/>
        <w:numPr>
          <w:numId w:val="1009"/>
          <w:ilvl w:val="1"/>
        </w:numPr>
      </w:pPr>
      <w:r>
        <w:rPr>
          <w:b/>
        </w:rPr>
        <w:t xml:space="preserve">Required Readings:</w:t>
      </w:r>
      <w:r>
        <w:t xml:space="preserve"> </w:t>
      </w:r>
      <w:r>
        <w:t xml:space="preserve">Seidl et al. 2015b</w:t>
      </w:r>
    </w:p>
    <w:p>
      <w:pPr>
        <w:pStyle w:val="Compact"/>
        <w:numPr>
          <w:numId w:val="1007"/>
          <w:ilvl w:val="0"/>
        </w:numPr>
      </w:pPr>
      <w:r>
        <w:t xml:space="preserve">Logic, classes, and relationships</w:t>
      </w:r>
    </w:p>
    <w:p>
      <w:pPr>
        <w:pStyle w:val="Compact"/>
        <w:numPr>
          <w:numId w:val="1010"/>
          <w:ilvl w:val="1"/>
        </w:numPr>
      </w:pPr>
      <w:r>
        <w:rPr>
          <w:b/>
        </w:rPr>
        <w:t xml:space="preserve">Required Readings:</w:t>
      </w:r>
      <w:r>
        <w:t xml:space="preserve"> </w:t>
      </w:r>
      <w:r>
        <w:t xml:space="preserve">Bach 1989a</w:t>
      </w:r>
    </w:p>
    <w:p>
      <w:pPr>
        <w:pStyle w:val="Heading3"/>
      </w:pPr>
      <w:bookmarkStart w:id="58" w:name="week-3-january-30-and-february-1"/>
      <w:bookmarkEnd w:id="58"/>
      <w:r>
        <w:t xml:space="preserve">Week 3: January 30 and February 1</w:t>
      </w:r>
    </w:p>
    <w:p>
      <w:pPr>
        <w:pStyle w:val="Compact"/>
        <w:numPr>
          <w:numId w:val="1011"/>
          <w:ilvl w:val="0"/>
        </w:numPr>
      </w:pPr>
      <w:r>
        <w:t xml:space="preserve">Relations</w:t>
      </w:r>
    </w:p>
    <w:p>
      <w:pPr>
        <w:pStyle w:val="Compact"/>
        <w:numPr>
          <w:numId w:val="1012"/>
          <w:ilvl w:val="1"/>
        </w:numPr>
      </w:pPr>
      <w:r>
        <w:rPr>
          <w:b/>
        </w:rPr>
        <w:t xml:space="preserve">Required Readings:</w:t>
      </w:r>
      <w:r>
        <w:t xml:space="preserve"> </w:t>
      </w:r>
      <w:r>
        <w:t xml:space="preserve">Rosen 2011f</w:t>
      </w:r>
    </w:p>
    <w:p>
      <w:pPr>
        <w:pStyle w:val="Compact"/>
        <w:numPr>
          <w:numId w:val="1011"/>
          <w:ilvl w:val="0"/>
        </w:numPr>
      </w:pPr>
      <w:r>
        <w:t xml:space="preserve">Relational Algebra</w:t>
      </w:r>
    </w:p>
    <w:p>
      <w:pPr>
        <w:pStyle w:val="Compact"/>
        <w:numPr>
          <w:numId w:val="1013"/>
          <w:ilvl w:val="1"/>
        </w:numPr>
      </w:pPr>
      <w:r>
        <w:rPr>
          <w:b/>
        </w:rPr>
        <w:t xml:space="preserve">Required Readings:</w:t>
      </w:r>
      <w:r>
        <w:t xml:space="preserve"> </w:t>
      </w:r>
      <w:r>
        <w:t xml:space="preserve">Wenholz 2012</w:t>
      </w:r>
    </w:p>
    <w:p>
      <w:pPr>
        <w:pStyle w:val="Heading3"/>
      </w:pPr>
      <w:bookmarkStart w:id="59" w:name="week-4-february-6-and-8"/>
      <w:bookmarkEnd w:id="59"/>
      <w:r>
        <w:t xml:space="preserve">Week 4: February 6 and 8</w:t>
      </w:r>
    </w:p>
    <w:p>
      <w:pPr>
        <w:pStyle w:val="Compact"/>
        <w:numPr>
          <w:numId w:val="1014"/>
          <w:ilvl w:val="0"/>
        </w:numPr>
      </w:pPr>
      <w:r>
        <w:t xml:space="preserve">Semantics and Interpretation</w:t>
      </w:r>
    </w:p>
    <w:p>
      <w:pPr>
        <w:pStyle w:val="Compact"/>
        <w:numPr>
          <w:numId w:val="1015"/>
          <w:ilvl w:val="1"/>
        </w:numPr>
      </w:pPr>
      <w:r>
        <w:rPr>
          <w:b/>
        </w:rPr>
        <w:t xml:space="preserve">Required Readings:</w:t>
      </w:r>
      <w:r>
        <w:t xml:space="preserve"> </w:t>
      </w:r>
      <w:r>
        <w:t xml:space="preserve">Bach 1989a, 1989b</w:t>
      </w:r>
    </w:p>
    <w:p>
      <w:pPr>
        <w:pStyle w:val="Heading3"/>
      </w:pPr>
      <w:bookmarkStart w:id="60" w:name="week-5-february-13-and-15"/>
      <w:bookmarkEnd w:id="60"/>
      <w:r>
        <w:t xml:space="preserve">Week 5: February 13 and 15</w:t>
      </w:r>
    </w:p>
    <w:p>
      <w:pPr>
        <w:pStyle w:val="Compact"/>
        <w:numPr>
          <w:numId w:val="1016"/>
          <w:ilvl w:val="0"/>
        </w:numPr>
      </w:pPr>
      <w:r>
        <w:t xml:space="preserve">Models, Domains, Properties, and Relationships</w:t>
      </w:r>
    </w:p>
    <w:p>
      <w:pPr>
        <w:pStyle w:val="Compact"/>
        <w:numPr>
          <w:numId w:val="1017"/>
          <w:ilvl w:val="1"/>
        </w:numPr>
      </w:pPr>
      <w:r>
        <w:rPr>
          <w:b/>
        </w:rPr>
        <w:t xml:space="preserve">Required Readings:</w:t>
      </w:r>
      <w:r>
        <w:t xml:space="preserve"> </w:t>
      </w:r>
      <w:r>
        <w:t xml:space="preserve">Jubien 1997</w:t>
      </w:r>
    </w:p>
    <w:p>
      <w:pPr>
        <w:pStyle w:val="Heading3"/>
      </w:pPr>
      <w:bookmarkStart w:id="61" w:name="week-6-february-20-and-22"/>
      <w:bookmarkEnd w:id="61"/>
      <w:r>
        <w:t xml:space="preserve">Week 6: February 20 and 22</w:t>
      </w:r>
    </w:p>
    <w:p>
      <w:pPr>
        <w:pStyle w:val="Compact"/>
        <w:numPr>
          <w:numId w:val="1018"/>
          <w:ilvl w:val="0"/>
        </w:numPr>
      </w:pPr>
      <w:r>
        <w:t xml:space="preserve">Predicate Logic, Part 1</w:t>
      </w:r>
    </w:p>
    <w:p>
      <w:pPr>
        <w:pStyle w:val="Compact"/>
        <w:numPr>
          <w:numId w:val="1019"/>
          <w:ilvl w:val="1"/>
        </w:numPr>
      </w:pPr>
      <w:r>
        <w:rPr>
          <w:b/>
        </w:rPr>
        <w:t xml:space="preserve">Required Readings:</w:t>
      </w:r>
      <w:r>
        <w:t xml:space="preserve"> </w:t>
      </w:r>
      <w:r>
        <w:t xml:space="preserve">Benthem et al. 2014b, 2014c, 2014d, 2014a</w:t>
      </w:r>
    </w:p>
    <w:p>
      <w:pPr>
        <w:pStyle w:val="Heading3"/>
      </w:pPr>
      <w:bookmarkStart w:id="62" w:name="week-7-february-27-and-march-1"/>
      <w:bookmarkEnd w:id="62"/>
      <w:r>
        <w:t xml:space="preserve">Week 7: February 27 and March 1</w:t>
      </w:r>
    </w:p>
    <w:p>
      <w:pPr>
        <w:pStyle w:val="Compact"/>
        <w:numPr>
          <w:numId w:val="1020"/>
          <w:ilvl w:val="0"/>
        </w:numPr>
      </w:pPr>
      <w:r>
        <w:t xml:space="preserve">Predicate Logic, Part 2</w:t>
      </w:r>
    </w:p>
    <w:p>
      <w:pPr>
        <w:pStyle w:val="Heading3"/>
      </w:pPr>
      <w:bookmarkStart w:id="63" w:name="week-8-march-6-and-8"/>
      <w:bookmarkEnd w:id="63"/>
      <w:r>
        <w:t xml:space="preserve">Week 8: March 6 and 8</w:t>
      </w:r>
    </w:p>
    <w:p>
      <w:pPr>
        <w:pStyle w:val="Compact"/>
        <w:numPr>
          <w:numId w:val="1021"/>
          <w:ilvl w:val="0"/>
        </w:numPr>
      </w:pPr>
      <w:r>
        <w:t xml:space="preserve">Syntax and Grammar</w:t>
      </w:r>
    </w:p>
    <w:p>
      <w:pPr>
        <w:pStyle w:val="Compact"/>
        <w:numPr>
          <w:numId w:val="1022"/>
          <w:ilvl w:val="1"/>
        </w:numPr>
      </w:pPr>
      <w:r>
        <w:rPr>
          <w:b/>
        </w:rPr>
        <w:t xml:space="preserve">Required Readings:</w:t>
      </w:r>
      <w:r>
        <w:t xml:space="preserve"> </w:t>
      </w:r>
      <w:r>
        <w:t xml:space="preserve">Rosen 2011e</w:t>
      </w:r>
    </w:p>
    <w:p>
      <w:pPr>
        <w:pStyle w:val="Heading3"/>
      </w:pPr>
      <w:bookmarkStart w:id="64" w:name="week-9-march-13-and-15"/>
      <w:bookmarkEnd w:id="64"/>
      <w:r>
        <w:t xml:space="preserve">Week 9: March 13 and 15</w:t>
      </w:r>
    </w:p>
    <w:p>
      <w:pPr>
        <w:pStyle w:val="Compact"/>
        <w:numPr>
          <w:numId w:val="1023"/>
          <w:ilvl w:val="0"/>
        </w:numPr>
      </w:pPr>
      <w:r>
        <w:t xml:space="preserve">Graphs</w:t>
      </w:r>
    </w:p>
    <w:p>
      <w:pPr>
        <w:pStyle w:val="Compact"/>
        <w:numPr>
          <w:numId w:val="1024"/>
          <w:ilvl w:val="1"/>
        </w:numPr>
      </w:pPr>
      <w:r>
        <w:rPr>
          <w:b/>
        </w:rPr>
        <w:t xml:space="preserve">Required Readings:</w:t>
      </w:r>
      <w:r>
        <w:t xml:space="preserve"> </w:t>
      </w:r>
      <w:r>
        <w:t xml:space="preserve">Rosen 2011d</w:t>
      </w:r>
    </w:p>
    <w:p>
      <w:pPr>
        <w:pStyle w:val="Compact"/>
        <w:numPr>
          <w:numId w:val="1023"/>
          <w:ilvl w:val="0"/>
        </w:numPr>
      </w:pPr>
      <w:r>
        <w:t xml:space="preserve">Automata</w:t>
      </w:r>
    </w:p>
    <w:p>
      <w:pPr>
        <w:pStyle w:val="Compact"/>
        <w:numPr>
          <w:numId w:val="1025"/>
          <w:ilvl w:val="1"/>
        </w:numPr>
      </w:pPr>
      <w:r>
        <w:rPr>
          <w:b/>
        </w:rPr>
        <w:t xml:space="preserve">Required Readings:</w:t>
      </w:r>
      <w:r>
        <w:t xml:space="preserve"> </w:t>
      </w:r>
      <w:r>
        <w:t xml:space="preserve">Rosen 2011b</w:t>
      </w:r>
    </w:p>
    <w:p>
      <w:pPr>
        <w:pStyle w:val="Heading3"/>
      </w:pPr>
      <w:bookmarkStart w:id="65" w:name="spring-holiday-march-20-and-22"/>
      <w:bookmarkEnd w:id="65"/>
      <w:r>
        <w:t xml:space="preserve">Spring Holiday: March 20 and 22</w:t>
      </w:r>
    </w:p>
    <w:p>
      <w:pPr>
        <w:pStyle w:val="Heading3"/>
      </w:pPr>
      <w:bookmarkStart w:id="66" w:name="week-11-march-27-and-29"/>
      <w:bookmarkEnd w:id="66"/>
      <w:r>
        <w:t xml:space="preserve">Week 11: March 27 and 29</w:t>
      </w:r>
    </w:p>
    <w:p>
      <w:pPr>
        <w:pStyle w:val="Compact"/>
        <w:numPr>
          <w:numId w:val="1026"/>
          <w:ilvl w:val="0"/>
        </w:numPr>
      </w:pPr>
      <w:r>
        <w:t xml:space="preserve">Conceptual Graphs</w:t>
      </w:r>
    </w:p>
    <w:p>
      <w:pPr>
        <w:pStyle w:val="Compact"/>
        <w:numPr>
          <w:numId w:val="1027"/>
          <w:ilvl w:val="1"/>
        </w:numPr>
      </w:pPr>
      <w:r>
        <w:rPr>
          <w:b/>
        </w:rPr>
        <w:t xml:space="preserve">Required Readings:</w:t>
      </w:r>
      <w:r>
        <w:t xml:space="preserve"> </w:t>
      </w:r>
      <w:r>
        <w:t xml:space="preserve">Pan et al. 2017</w:t>
      </w:r>
    </w:p>
    <w:p>
      <w:pPr>
        <w:pStyle w:val="Heading3"/>
      </w:pPr>
      <w:bookmarkStart w:id="67" w:name="week-12-april-3-and-5"/>
      <w:bookmarkEnd w:id="67"/>
      <w:r>
        <w:t xml:space="preserve">Week 12: April 3 and 5</w:t>
      </w:r>
    </w:p>
    <w:p>
      <w:pPr>
        <w:pStyle w:val="Compact"/>
        <w:numPr>
          <w:numId w:val="1028"/>
          <w:ilvl w:val="0"/>
        </w:numPr>
      </w:pPr>
      <w:r>
        <w:t xml:space="preserve">The RDF model and language</w:t>
      </w:r>
    </w:p>
    <w:p>
      <w:pPr>
        <w:pStyle w:val="Compact"/>
        <w:numPr>
          <w:numId w:val="1029"/>
          <w:ilvl w:val="1"/>
        </w:numPr>
      </w:pPr>
      <w:r>
        <w:rPr>
          <w:b/>
        </w:rPr>
        <w:t xml:space="preserve">Required Readings:</w:t>
      </w:r>
      <w:r>
        <w:t xml:space="preserve"> </w:t>
      </w:r>
      <w:r>
        <w:t xml:space="preserve">Beckett et al. 2014; Manola et al. 2014</w:t>
      </w:r>
    </w:p>
    <w:p>
      <w:pPr>
        <w:pStyle w:val="Heading3"/>
      </w:pPr>
      <w:bookmarkStart w:id="68" w:name="week-13-april-10-and-13"/>
      <w:bookmarkEnd w:id="68"/>
      <w:r>
        <w:t xml:space="preserve">Week 13: April 10 and 13</w:t>
      </w:r>
    </w:p>
    <w:p>
      <w:pPr>
        <w:pStyle w:val="Compact"/>
        <w:numPr>
          <w:numId w:val="1030"/>
          <w:ilvl w:val="0"/>
        </w:numPr>
      </w:pPr>
      <w:r>
        <w:t xml:space="preserve">Description Logics</w:t>
      </w:r>
    </w:p>
    <w:p>
      <w:pPr>
        <w:pStyle w:val="Compact"/>
        <w:numPr>
          <w:numId w:val="1031"/>
          <w:ilvl w:val="1"/>
        </w:numPr>
      </w:pPr>
      <w:r>
        <w:rPr>
          <w:b/>
        </w:rPr>
        <w:t xml:space="preserve">Required Readings:</w:t>
      </w:r>
      <w:r>
        <w:t xml:space="preserve"> </w:t>
      </w:r>
      <w:r>
        <w:t xml:space="preserve">Krötzsch et al. 2014</w:t>
      </w:r>
    </w:p>
    <w:p>
      <w:pPr>
        <w:pStyle w:val="Heading3"/>
      </w:pPr>
      <w:bookmarkStart w:id="69" w:name="week-14-april-17-and-19"/>
      <w:bookmarkEnd w:id="69"/>
      <w:r>
        <w:t xml:space="preserve">Week 14: April 17 and 19</w:t>
      </w:r>
    </w:p>
    <w:p>
      <w:pPr>
        <w:pStyle w:val="Compact"/>
        <w:numPr>
          <w:numId w:val="1032"/>
          <w:ilvl w:val="0"/>
        </w:numPr>
      </w:pPr>
      <w:r>
        <w:t xml:space="preserve">Ontologies</w:t>
      </w:r>
    </w:p>
    <w:p>
      <w:pPr>
        <w:pStyle w:val="Compact"/>
        <w:numPr>
          <w:numId w:val="1033"/>
          <w:ilvl w:val="1"/>
        </w:numPr>
      </w:pPr>
      <w:r>
        <w:rPr>
          <w:b/>
        </w:rPr>
        <w:t xml:space="preserve">Required Readings:</w:t>
      </w:r>
      <w:r>
        <w:t xml:space="preserve"> </w:t>
      </w:r>
      <w:r>
        <w:t xml:space="preserve">Hitzler et al. 2012; Porter et al. 2008</w:t>
      </w:r>
    </w:p>
    <w:p>
      <w:pPr>
        <w:pStyle w:val="Heading3"/>
      </w:pPr>
      <w:bookmarkStart w:id="70" w:name="week-15-april-24-and-26"/>
      <w:bookmarkEnd w:id="70"/>
      <w:r>
        <w:t xml:space="preserve">Week 15: April 24 and 26</w:t>
      </w:r>
    </w:p>
    <w:p>
      <w:pPr>
        <w:pStyle w:val="Heading3"/>
      </w:pPr>
      <w:bookmarkStart w:id="71" w:name="week-16-may-1"/>
      <w:bookmarkEnd w:id="71"/>
      <w:r>
        <w:t xml:space="preserve">Week 16: May 1</w:t>
      </w:r>
    </w:p>
    <w:p>
      <w:pPr>
        <w:pStyle w:val="Compact"/>
        <w:numPr>
          <w:numId w:val="1034"/>
          <w:ilvl w:val="0"/>
        </w:numPr>
      </w:pPr>
      <w:r>
        <w:t xml:space="preserve">Wrapup and Evaluation</w:t>
      </w:r>
    </w:p>
    <w:p>
      <w:pPr>
        <w:pStyle w:val="Heading1"/>
      </w:pPr>
      <w:bookmarkStart w:id="72" w:name="readings"/>
      <w:bookmarkEnd w:id="7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3">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74">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75">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6">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77">
        <w:r>
          <w:rPr>
            <w:rStyle w:val="Hyperlink"/>
          </w:rPr>
          <w:t xml:space="preserve">https://courseweb.lis.illinois.edu/lis/2014fa/lis590ro/readings/Jubien97ch2-3.pdf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78">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79">
        <w:r>
          <w:rPr>
            <w:rStyle w:val="Hyperlink"/>
          </w:rPr>
          <w:t xml:space="preserve">https://www.w3.org/TR/2014/NOTE-rdf11-primer-20140624/</w:t>
        </w:r>
      </w:hyperlink>
      <w:r>
        <w:t xml:space="preserve">.</w:t>
      </w:r>
    </w:p>
    <w:p>
      <w:pPr>
        <w:pStyle w:val="Bibliography"/>
      </w:pPr>
      <w:r>
        <w:t xml:space="preserve">Pan, J Z, Vetere, G, Gomez-Perez, J M, and Wu, H (eds.). 2017. “Knowledge graphs: Foundations”. In</w:t>
      </w:r>
      <w:r>
        <w:t xml:space="preserve"> </w:t>
      </w:r>
      <w:r>
        <w:rPr>
          <w:i/>
        </w:rPr>
        <w:t xml:space="preserve">Exploiting Linked Data and Knowledge Graphs in Large Organisations</w:t>
      </w:r>
      <w:r>
        <w:t xml:space="preserve">. Cham, 17–38.</w:t>
      </w:r>
      <w:r>
        <w:t xml:space="preserve"> </w:t>
      </w:r>
      <w:hyperlink r:id="rId80">
        <w:r>
          <w:rPr>
            <w:rStyle w:val="Hyperlink"/>
          </w:rPr>
          <w:t xml:space="preserve">http://link.springer.com/10.1007/978-3-319-45654-6</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81">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2">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3">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10d7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bdca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b7590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8" Target="http://ieeexplore.ieee.org/document/6671572/" TargetMode="External" /><Relationship Type="http://schemas.openxmlformats.org/officeDocument/2006/relationships/hyperlink" Id="rId8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7"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9" Target="https://www.w3.org/TR/2014/NOTE-rdf11-primer-20140624/" TargetMode="External" /><Relationship Type="http://schemas.openxmlformats.org/officeDocument/2006/relationships/hyperlink" Id="rId74"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8" Target="http://ieeexplore.ieee.org/document/6671572/" TargetMode="External" /><Relationship Type="http://schemas.openxmlformats.org/officeDocument/2006/relationships/hyperlink" Id="rId8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7"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9" Target="https://www.w3.org/TR/2014/NOTE-rdf11-primer-20140624/" TargetMode="External" /><Relationship Type="http://schemas.openxmlformats.org/officeDocument/2006/relationships/hyperlink" Id="rId74"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