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B403B" w14:textId="35F53B99" w:rsidR="0001133E" w:rsidRDefault="00A917C1">
      <w:pPr>
        <w:jc w:val="center"/>
      </w:pPr>
      <w:r>
        <w:rPr>
          <w:b/>
          <w:sz w:val="36"/>
        </w:rPr>
        <w:t>IMF</w:t>
      </w:r>
    </w:p>
    <w:p w14:paraId="682DFD26" w14:textId="70E5E660" w:rsidR="0001133E" w:rsidRDefault="00000000">
      <w:pPr>
        <w:spacing w:after="100"/>
      </w:pPr>
      <w:r>
        <w:t xml:space="preserve">This document summarizes the R&amp;D work done on the GEMINI/GEMINI++ GUI </w:t>
      </w:r>
      <w:r w:rsidR="00A917C1">
        <w:t xml:space="preserve">code. </w:t>
      </w:r>
      <w:r>
        <w:t xml:space="preserve">The focus was on how to treat residual nuclei, emitted </w:t>
      </w:r>
      <w:proofErr w:type="gramStart"/>
      <w:r>
        <w:t>particles</w:t>
      </w:r>
      <w:proofErr w:type="gramEnd"/>
      <w:r w:rsidR="00A917C1">
        <w:t xml:space="preserve"> and</w:t>
      </w:r>
      <w:r>
        <w:t xml:space="preserve"> IMF fragments</w:t>
      </w:r>
      <w:r w:rsidR="00A917C1">
        <w:t>.</w:t>
      </w:r>
    </w:p>
    <w:p w14:paraId="025C57E2" w14:textId="473FEEDA" w:rsidR="0001133E" w:rsidRPr="00A917C1" w:rsidRDefault="00A917C1">
      <w:pPr>
        <w:pStyle w:val="Heading1"/>
        <w:rPr>
          <w:color w:val="000000" w:themeColor="text1"/>
        </w:rPr>
      </w:pPr>
      <w:r w:rsidRPr="00A917C1">
        <w:rPr>
          <w:color w:val="000000" w:themeColor="text1"/>
        </w:rPr>
        <w:t>1</w:t>
      </w:r>
      <w:r w:rsidR="00000000" w:rsidRPr="00A917C1">
        <w:rPr>
          <w:color w:val="000000" w:themeColor="text1"/>
        </w:rPr>
        <w:t>. IMF definition and interpretation</w:t>
      </w:r>
    </w:p>
    <w:p w14:paraId="2BA42C0E" w14:textId="77777777" w:rsidR="0001133E" w:rsidRPr="00A917C1" w:rsidRDefault="00000000">
      <w:pPr>
        <w:pStyle w:val="ListBullet"/>
        <w:spacing w:after="40"/>
        <w:rPr>
          <w:color w:val="000000" w:themeColor="text1"/>
        </w:rPr>
      </w:pPr>
      <w:r w:rsidRPr="00A917C1">
        <w:rPr>
          <w:color w:val="000000" w:themeColor="text1"/>
        </w:rPr>
        <w:t>IMF means intermediate-mass fragment.</w:t>
      </w:r>
    </w:p>
    <w:p w14:paraId="543ADC58" w14:textId="77777777" w:rsidR="0001133E" w:rsidRPr="00A917C1" w:rsidRDefault="00000000">
      <w:pPr>
        <w:pStyle w:val="ListBullet"/>
        <w:spacing w:after="40"/>
        <w:rPr>
          <w:color w:val="000000" w:themeColor="text1"/>
        </w:rPr>
      </w:pPr>
      <w:r w:rsidRPr="00A917C1">
        <w:rPr>
          <w:color w:val="000000" w:themeColor="text1"/>
        </w:rPr>
        <w:t>In ABLA07, the practical definition is IMF = Z &gt; 2, or equivalently Z &gt;= 3.</w:t>
      </w:r>
    </w:p>
    <w:p w14:paraId="712402D8" w14:textId="77777777" w:rsidR="0001133E" w:rsidRPr="00A917C1" w:rsidRDefault="00000000">
      <w:pPr>
        <w:pStyle w:val="ListBullet"/>
        <w:spacing w:after="40"/>
        <w:rPr>
          <w:color w:val="000000" w:themeColor="text1"/>
        </w:rPr>
      </w:pPr>
      <w:r w:rsidRPr="00A917C1">
        <w:rPr>
          <w:color w:val="000000" w:themeColor="text1"/>
        </w:rPr>
        <w:t>This means IMFs are heavier than protons, deuterons, tritons, 3He, and alpha particles.</w:t>
      </w:r>
    </w:p>
    <w:p w14:paraId="0D8E015F" w14:textId="77777777" w:rsidR="0001133E" w:rsidRPr="00A917C1" w:rsidRDefault="00000000">
      <w:pPr>
        <w:pStyle w:val="ListBullet"/>
        <w:spacing w:after="40"/>
        <w:rPr>
          <w:color w:val="000000" w:themeColor="text1"/>
        </w:rPr>
      </w:pPr>
      <w:r w:rsidRPr="00A917C1">
        <w:rPr>
          <w:color w:val="000000" w:themeColor="text1"/>
        </w:rPr>
        <w:t>IMFs sit between light-particle evaporation, complex-fragment emission, asymmetric fission, and multifragmentation.</w:t>
      </w:r>
    </w:p>
    <w:p w14:paraId="1BD75861" w14:textId="70C7AAC0" w:rsidR="0001133E" w:rsidRPr="00A917C1" w:rsidRDefault="00A917C1">
      <w:pPr>
        <w:pStyle w:val="Heading1"/>
        <w:rPr>
          <w:color w:val="000000" w:themeColor="text1"/>
        </w:rPr>
      </w:pPr>
      <w:r w:rsidRPr="00A917C1">
        <w:rPr>
          <w:color w:val="000000" w:themeColor="text1"/>
        </w:rPr>
        <w:t>2</w:t>
      </w:r>
      <w:r w:rsidR="00000000" w:rsidRPr="00A917C1">
        <w:rPr>
          <w:color w:val="000000" w:themeColor="text1"/>
        </w:rPr>
        <w:t>. IMF treatment in GEMINI/GEMINI++</w:t>
      </w:r>
    </w:p>
    <w:p w14:paraId="2F6643ED" w14:textId="77777777" w:rsidR="0001133E" w:rsidRPr="00A917C1" w:rsidRDefault="00000000">
      <w:pPr>
        <w:pStyle w:val="ListBullet"/>
        <w:spacing w:after="40"/>
        <w:rPr>
          <w:color w:val="000000" w:themeColor="text1"/>
        </w:rPr>
      </w:pPr>
      <w:r w:rsidRPr="00A917C1">
        <w:rPr>
          <w:color w:val="000000" w:themeColor="text1"/>
        </w:rPr>
        <w:t>In GEMINI/GEMINI++, IMFs are not treated like ordinary light-particle evaporation products.</w:t>
      </w:r>
    </w:p>
    <w:p w14:paraId="0148A7E7" w14:textId="77777777" w:rsidR="0001133E" w:rsidRPr="00A917C1" w:rsidRDefault="00000000">
      <w:pPr>
        <w:pStyle w:val="ListBullet"/>
        <w:spacing w:after="40"/>
        <w:rPr>
          <w:color w:val="000000" w:themeColor="text1"/>
        </w:rPr>
      </w:pPr>
      <w:r w:rsidRPr="00A917C1">
        <w:rPr>
          <w:color w:val="000000" w:themeColor="text1"/>
        </w:rPr>
        <w:t>Light particles are handled by Hauser-Feshbach evaporation.</w:t>
      </w:r>
    </w:p>
    <w:p w14:paraId="5B5E035C" w14:textId="77777777" w:rsidR="0001133E" w:rsidRPr="00A917C1" w:rsidRDefault="00000000">
      <w:pPr>
        <w:pStyle w:val="ListBullet"/>
        <w:spacing w:after="40"/>
        <w:rPr>
          <w:color w:val="000000" w:themeColor="text1"/>
        </w:rPr>
      </w:pPr>
      <w:r w:rsidRPr="00A917C1">
        <w:rPr>
          <w:color w:val="000000" w:themeColor="text1"/>
        </w:rPr>
        <w:t>Heavier complex fragments are handled by Moretto-type binary-decay formalism.</w:t>
      </w:r>
    </w:p>
    <w:p w14:paraId="40B3D456" w14:textId="77777777" w:rsidR="0001133E" w:rsidRPr="00A917C1" w:rsidRDefault="00000000">
      <w:pPr>
        <w:pStyle w:val="ListBullet"/>
        <w:spacing w:after="40"/>
        <w:rPr>
          <w:color w:val="000000" w:themeColor="text1"/>
        </w:rPr>
      </w:pPr>
      <w:r w:rsidRPr="00A917C1">
        <w:rPr>
          <w:color w:val="000000" w:themeColor="text1"/>
        </w:rPr>
        <w:t>Heavy symmetric fission is treated separately through Bohr-Wheeler / fission systematics.</w:t>
      </w:r>
    </w:p>
    <w:p w14:paraId="4DE5CC78" w14:textId="77777777" w:rsidR="0001133E" w:rsidRPr="00A917C1" w:rsidRDefault="00000000">
      <w:pPr>
        <w:pStyle w:val="ListBullet"/>
        <w:spacing w:after="40"/>
        <w:rPr>
          <w:color w:val="000000" w:themeColor="text1"/>
        </w:rPr>
      </w:pPr>
      <w:r w:rsidRPr="00A917C1">
        <w:rPr>
          <w:color w:val="000000" w:themeColor="text1"/>
        </w:rPr>
        <w:t>Therefore, an IMF in GEMINI is better understood as a complex-fragment or asymmetric binary-decay product.</w:t>
      </w:r>
    </w:p>
    <w:p w14:paraId="03E200A6" w14:textId="779D707D" w:rsidR="0001133E" w:rsidRPr="00A917C1" w:rsidRDefault="00A917C1">
      <w:pPr>
        <w:pStyle w:val="Heading1"/>
        <w:rPr>
          <w:color w:val="000000" w:themeColor="text1"/>
        </w:rPr>
      </w:pPr>
      <w:r w:rsidRPr="00A917C1">
        <w:rPr>
          <w:color w:val="000000" w:themeColor="text1"/>
        </w:rPr>
        <w:t>3</w:t>
      </w:r>
      <w:r w:rsidR="00000000" w:rsidRPr="00A917C1">
        <w:rPr>
          <w:color w:val="000000" w:themeColor="text1"/>
        </w:rPr>
        <w:t>. Isospin thermometer research</w:t>
      </w:r>
    </w:p>
    <w:p w14:paraId="103F86BF" w14:textId="77777777" w:rsidR="0001133E" w:rsidRPr="00A917C1" w:rsidRDefault="00000000">
      <w:pPr>
        <w:pStyle w:val="ListBullet"/>
        <w:spacing w:after="40"/>
        <w:rPr>
          <w:color w:val="000000" w:themeColor="text1"/>
        </w:rPr>
      </w:pPr>
      <w:r w:rsidRPr="00A917C1">
        <w:rPr>
          <w:color w:val="000000" w:themeColor="text1"/>
        </w:rPr>
        <w:t>The isospin thermometer uses the final isotopic composition of fragments, especially N/Z, to infer freeze-out temperature.</w:t>
      </w:r>
    </w:p>
    <w:p w14:paraId="702107D4" w14:textId="77777777" w:rsidR="0001133E" w:rsidRPr="00A917C1" w:rsidRDefault="00000000">
      <w:pPr>
        <w:pStyle w:val="ListBullet"/>
        <w:spacing w:after="40"/>
        <w:rPr>
          <w:color w:val="000000" w:themeColor="text1"/>
        </w:rPr>
      </w:pPr>
      <w:r w:rsidRPr="00A917C1">
        <w:rPr>
          <w:color w:val="000000" w:themeColor="text1"/>
        </w:rPr>
        <w:t>If residues remain neutron-rich, they did not undergo a long evaporation cascade.</w:t>
      </w:r>
    </w:p>
    <w:p w14:paraId="3E3643EE" w14:textId="77777777" w:rsidR="0001133E" w:rsidRPr="00A917C1" w:rsidRDefault="00000000">
      <w:pPr>
        <w:pStyle w:val="ListBullet"/>
        <w:spacing w:after="40"/>
        <w:rPr>
          <w:color w:val="000000" w:themeColor="text1"/>
        </w:rPr>
      </w:pPr>
      <w:r w:rsidRPr="00A917C1">
        <w:rPr>
          <w:color w:val="000000" w:themeColor="text1"/>
        </w:rPr>
        <w:t>If residues move toward the evaporation-residue corridor, they underwent more evaporation.</w:t>
      </w:r>
    </w:p>
    <w:p w14:paraId="42D8DB4D" w14:textId="77777777" w:rsidR="0001133E" w:rsidRPr="00A917C1" w:rsidRDefault="00000000">
      <w:pPr>
        <w:pStyle w:val="ListBullet"/>
        <w:spacing w:after="40"/>
        <w:rPr>
          <w:color w:val="000000" w:themeColor="text1"/>
        </w:rPr>
      </w:pPr>
      <w:r w:rsidRPr="00A917C1">
        <w:rPr>
          <w:color w:val="000000" w:themeColor="text1"/>
        </w:rPr>
        <w:t>For 238U + Pb at 1 A GeV, Schmidt et al. found a freeze-out temperature of about 5 MeV.</w:t>
      </w:r>
    </w:p>
    <w:p w14:paraId="1461EAA6" w14:textId="77777777" w:rsidR="0001133E" w:rsidRPr="00A917C1" w:rsidRDefault="00000000">
      <w:pPr>
        <w:pStyle w:val="ListBullet"/>
        <w:spacing w:after="40"/>
        <w:rPr>
          <w:color w:val="000000" w:themeColor="text1"/>
        </w:rPr>
      </w:pPr>
      <w:r w:rsidRPr="00A917C1">
        <w:rPr>
          <w:color w:val="000000" w:themeColor="text1"/>
        </w:rPr>
        <w:t>This helped separate the interpretation of final residues from directly emitted particles.</w:t>
      </w:r>
    </w:p>
    <w:p w14:paraId="0B739556" w14:textId="60476863" w:rsidR="0001133E" w:rsidRPr="00A917C1" w:rsidRDefault="00A917C1">
      <w:pPr>
        <w:pStyle w:val="Heading1"/>
        <w:rPr>
          <w:color w:val="000000" w:themeColor="text1"/>
        </w:rPr>
      </w:pPr>
      <w:r w:rsidRPr="00A917C1">
        <w:rPr>
          <w:color w:val="000000" w:themeColor="text1"/>
        </w:rPr>
        <w:t>4</w:t>
      </w:r>
      <w:r w:rsidR="00000000" w:rsidRPr="00A917C1">
        <w:rPr>
          <w:color w:val="000000" w:themeColor="text1"/>
        </w:rPr>
        <w:t>. Boltzmann / Maxwell-Boltzmann distribution research</w:t>
      </w:r>
    </w:p>
    <w:p w14:paraId="6C34AC1A" w14:textId="77777777" w:rsidR="0001133E" w:rsidRPr="00A917C1" w:rsidRDefault="00000000">
      <w:pPr>
        <w:pStyle w:val="ListBullet"/>
        <w:spacing w:after="40"/>
        <w:rPr>
          <w:color w:val="000000" w:themeColor="text1"/>
        </w:rPr>
      </w:pPr>
      <w:r w:rsidRPr="00A917C1">
        <w:rPr>
          <w:color w:val="000000" w:themeColor="text1"/>
        </w:rPr>
        <w:t>ABLA07 describes emitted-particle kinetic-energy spectra using Maxwell-Boltzmann-like forms.</w:t>
      </w:r>
    </w:p>
    <w:p w14:paraId="3BBB5390" w14:textId="77777777" w:rsidR="0001133E" w:rsidRPr="00A917C1" w:rsidRDefault="00000000">
      <w:pPr>
        <w:pStyle w:val="ListBullet"/>
        <w:spacing w:after="40"/>
        <w:rPr>
          <w:color w:val="000000" w:themeColor="text1"/>
        </w:rPr>
      </w:pPr>
      <w:r w:rsidRPr="00A917C1">
        <w:rPr>
          <w:color w:val="000000" w:themeColor="text1"/>
        </w:rPr>
        <w:t>For neutrons, use N(E) proportional to sqrt(E) exp(-E/T).</w:t>
      </w:r>
    </w:p>
    <w:p w14:paraId="1C81875E" w14:textId="77777777" w:rsidR="0001133E" w:rsidRPr="00A917C1" w:rsidRDefault="00000000">
      <w:pPr>
        <w:pStyle w:val="ListBullet"/>
        <w:spacing w:after="40"/>
        <w:rPr>
          <w:color w:val="000000" w:themeColor="text1"/>
        </w:rPr>
      </w:pPr>
      <w:r w:rsidRPr="00A917C1">
        <w:rPr>
          <w:color w:val="000000" w:themeColor="text1"/>
        </w:rPr>
        <w:t>For charged emitted particles, include a Coulomb-barrier shift: N(E) = 0 for E &lt;= B, and N(E) proportional to ((E-B)^(3/2)/E) exp(-(E-B)/T) for E &gt; B.</w:t>
      </w:r>
    </w:p>
    <w:p w14:paraId="3032E2A3" w14:textId="77777777" w:rsidR="0001133E" w:rsidRPr="00A917C1" w:rsidRDefault="00000000">
      <w:pPr>
        <w:pStyle w:val="ListBullet"/>
        <w:spacing w:after="40"/>
        <w:rPr>
          <w:color w:val="000000" w:themeColor="text1"/>
        </w:rPr>
      </w:pPr>
      <w:r w:rsidRPr="00A917C1">
        <w:rPr>
          <w:color w:val="000000" w:themeColor="text1"/>
        </w:rPr>
        <w:t>This is most appropriate for emitted neutrons, protons, and alpha particles.</w:t>
      </w:r>
    </w:p>
    <w:p w14:paraId="38E5593E" w14:textId="7CEC7361" w:rsidR="0001133E" w:rsidRPr="00A917C1" w:rsidRDefault="00A917C1">
      <w:pPr>
        <w:pStyle w:val="Heading1"/>
        <w:rPr>
          <w:color w:val="000000" w:themeColor="text1"/>
        </w:rPr>
      </w:pPr>
      <w:r w:rsidRPr="00A917C1">
        <w:rPr>
          <w:color w:val="000000" w:themeColor="text1"/>
        </w:rPr>
        <w:t>5</w:t>
      </w:r>
      <w:r w:rsidR="00000000" w:rsidRPr="00A917C1">
        <w:rPr>
          <w:color w:val="000000" w:themeColor="text1"/>
        </w:rPr>
        <w:t>. Why residual nuclei should not receive Boltzmann overlays</w:t>
      </w:r>
    </w:p>
    <w:p w14:paraId="519D83B4" w14:textId="77777777" w:rsidR="0001133E" w:rsidRPr="00A917C1" w:rsidRDefault="00000000">
      <w:pPr>
        <w:pStyle w:val="ListBullet"/>
        <w:spacing w:after="40"/>
        <w:rPr>
          <w:color w:val="000000" w:themeColor="text1"/>
        </w:rPr>
      </w:pPr>
      <w:r w:rsidRPr="00A917C1">
        <w:rPr>
          <w:color w:val="000000" w:themeColor="text1"/>
        </w:rPr>
        <w:t>Residual nuclei are final remaining products after evaporation, not directly emitted particles.</w:t>
      </w:r>
    </w:p>
    <w:p w14:paraId="22D2649D" w14:textId="77777777" w:rsidR="0001133E" w:rsidRPr="00A917C1" w:rsidRDefault="00000000">
      <w:pPr>
        <w:pStyle w:val="ListBullet"/>
        <w:spacing w:after="40"/>
        <w:rPr>
          <w:color w:val="000000" w:themeColor="text1"/>
        </w:rPr>
      </w:pPr>
      <w:r w:rsidRPr="00A917C1">
        <w:rPr>
          <w:color w:val="000000" w:themeColor="text1"/>
        </w:rPr>
        <w:t>Their energy distribution reflects recoil kinematics, momentum conservation, decay history, source recoil, and final product selection.</w:t>
      </w:r>
    </w:p>
    <w:p w14:paraId="7C6A94CD" w14:textId="77777777" w:rsidR="0001133E" w:rsidRPr="00A917C1" w:rsidRDefault="00000000">
      <w:pPr>
        <w:pStyle w:val="ListBullet"/>
        <w:spacing w:after="40"/>
        <w:rPr>
          <w:color w:val="000000" w:themeColor="text1"/>
        </w:rPr>
      </w:pPr>
      <w:r w:rsidRPr="00A917C1">
        <w:rPr>
          <w:color w:val="000000" w:themeColor="text1"/>
        </w:rPr>
        <w:t>Therefore, applying a thermal emission formula to residual nuclei is not physically meaningful.</w:t>
      </w:r>
    </w:p>
    <w:p w14:paraId="1FDB7E67" w14:textId="77777777" w:rsidR="0001133E" w:rsidRPr="00A917C1" w:rsidRDefault="00000000">
      <w:pPr>
        <w:pStyle w:val="ListBullet"/>
        <w:spacing w:after="40"/>
        <w:rPr>
          <w:color w:val="000000" w:themeColor="text1"/>
        </w:rPr>
      </w:pPr>
      <w:r w:rsidRPr="00A917C1">
        <w:rPr>
          <w:color w:val="000000" w:themeColor="text1"/>
        </w:rPr>
        <w:t>Final decision: residual nuclei N vs Energy should show histogram + Gaussian descriptive fit only.</w:t>
      </w:r>
    </w:p>
    <w:p w14:paraId="4E4D08B1" w14:textId="69D22E99" w:rsidR="0001133E" w:rsidRPr="00A917C1" w:rsidRDefault="00A917C1">
      <w:pPr>
        <w:pStyle w:val="Heading1"/>
        <w:rPr>
          <w:color w:val="000000" w:themeColor="text1"/>
        </w:rPr>
      </w:pPr>
      <w:r w:rsidRPr="00A917C1">
        <w:rPr>
          <w:color w:val="000000" w:themeColor="text1"/>
        </w:rPr>
        <w:lastRenderedPageBreak/>
        <w:t>6</w:t>
      </w:r>
      <w:r w:rsidR="00000000" w:rsidRPr="00A917C1">
        <w:rPr>
          <w:color w:val="000000" w:themeColor="text1"/>
        </w:rPr>
        <w:t>. Source-frame energy conclusion</w:t>
      </w:r>
    </w:p>
    <w:p w14:paraId="7C5353D3" w14:textId="77777777" w:rsidR="0001133E" w:rsidRPr="00A917C1" w:rsidRDefault="00000000">
      <w:pPr>
        <w:pStyle w:val="ListBullet"/>
        <w:spacing w:after="40"/>
        <w:rPr>
          <w:color w:val="000000" w:themeColor="text1"/>
        </w:rPr>
      </w:pPr>
      <w:r w:rsidRPr="00A917C1">
        <w:rPr>
          <w:color w:val="000000" w:themeColor="text1"/>
        </w:rPr>
        <w:t>Boltzmann comparison must use C.M. / source energy, not lab energy.</w:t>
      </w:r>
    </w:p>
    <w:p w14:paraId="23C3CA94" w14:textId="77777777" w:rsidR="0001133E" w:rsidRPr="00A917C1" w:rsidRDefault="00000000">
      <w:pPr>
        <w:pStyle w:val="ListBullet"/>
        <w:spacing w:after="40"/>
        <w:rPr>
          <w:color w:val="000000" w:themeColor="text1"/>
        </w:rPr>
      </w:pPr>
      <w:r w:rsidRPr="00A917C1">
        <w:rPr>
          <w:color w:val="000000" w:themeColor="text1"/>
        </w:rPr>
        <w:t>Use entry.cmEnergy when it is available.</w:t>
      </w:r>
    </w:p>
    <w:p w14:paraId="25568D78" w14:textId="6C168ABE" w:rsidR="0001133E" w:rsidRPr="00A917C1" w:rsidRDefault="00A917C1">
      <w:pPr>
        <w:pStyle w:val="Heading1"/>
        <w:rPr>
          <w:color w:val="000000" w:themeColor="text1"/>
        </w:rPr>
      </w:pPr>
      <w:r w:rsidRPr="00A917C1">
        <w:rPr>
          <w:color w:val="000000" w:themeColor="text1"/>
        </w:rPr>
        <w:t>7</w:t>
      </w:r>
      <w:r w:rsidR="00000000" w:rsidRPr="00A917C1">
        <w:rPr>
          <w:color w:val="000000" w:themeColor="text1"/>
        </w:rPr>
        <w:t>. Code-level R&amp;D findings</w:t>
      </w:r>
    </w:p>
    <w:p w14:paraId="047DFA35" w14:textId="77777777" w:rsidR="0001133E" w:rsidRPr="00A917C1" w:rsidRDefault="00000000">
      <w:pPr>
        <w:pStyle w:val="ListBullet"/>
        <w:spacing w:after="40"/>
        <w:rPr>
          <w:color w:val="000000" w:themeColor="text1"/>
        </w:rPr>
      </w:pPr>
      <w:r w:rsidRPr="00A917C1">
        <w:rPr>
          <w:color w:val="000000" w:themeColor="text1"/>
        </w:rPr>
        <w:t>The code already had a useful structure for collecting angular and energy samples.</w:t>
      </w:r>
    </w:p>
    <w:p w14:paraId="6FF46CE9" w14:textId="77777777" w:rsidR="0001133E" w:rsidRPr="00A917C1" w:rsidRDefault="00000000">
      <w:pPr>
        <w:pStyle w:val="ListBullet"/>
        <w:spacing w:after="40"/>
        <w:rPr>
          <w:color w:val="000000" w:themeColor="text1"/>
        </w:rPr>
      </w:pPr>
      <w:r w:rsidRPr="00A917C1">
        <w:rPr>
          <w:color w:val="000000" w:themeColor="text1"/>
        </w:rPr>
        <w:t>AngularDistEntry stores kineticEnergy, thetaDeg, vz, vxy, and cmEnergy.</w:t>
      </w:r>
    </w:p>
    <w:p w14:paraId="0F03268D" w14:textId="77777777" w:rsidR="0001133E" w:rsidRPr="00A917C1" w:rsidRDefault="00000000">
      <w:pPr>
        <w:pStyle w:val="ListBullet"/>
        <w:spacing w:after="40"/>
        <w:rPr>
          <w:color w:val="000000" w:themeColor="text1"/>
        </w:rPr>
      </w:pPr>
      <w:r w:rsidRPr="00A917C1">
        <w:rPr>
          <w:color w:val="000000" w:themeColor="text1"/>
        </w:rPr>
        <w:t>The code already separated angularDistByZN, imfAngularByZN, neutronAngular, protonAngular, alphaAngular, and gammaAngular.</w:t>
      </w:r>
    </w:p>
    <w:p w14:paraId="48E511FD" w14:textId="1618CF9F" w:rsidR="00A917C1" w:rsidRPr="00A917C1" w:rsidRDefault="00A917C1" w:rsidP="00A917C1">
      <w:pPr>
        <w:pStyle w:val="Heading1"/>
        <w:rPr>
          <w:color w:val="000000" w:themeColor="text1"/>
        </w:rPr>
      </w:pPr>
      <w:r w:rsidRPr="00A917C1">
        <w:rPr>
          <w:color w:val="000000" w:themeColor="text1"/>
        </w:rPr>
        <w:t>8</w:t>
      </w:r>
      <w:r w:rsidRPr="00A917C1">
        <w:rPr>
          <w:color w:val="000000" w:themeColor="text1"/>
        </w:rPr>
        <w:t xml:space="preserve">. </w:t>
      </w:r>
      <w:proofErr w:type="gramStart"/>
      <w:r w:rsidRPr="00A917C1">
        <w:rPr>
          <w:color w:val="000000" w:themeColor="text1"/>
        </w:rPr>
        <w:t>Final conclusion</w:t>
      </w:r>
      <w:proofErr w:type="gramEnd"/>
      <w:r w:rsidRPr="00A917C1">
        <w:rPr>
          <w:color w:val="000000" w:themeColor="text1"/>
        </w:rPr>
        <w:t xml:space="preserve"> in terms of GEMINI</w:t>
      </w:r>
    </w:p>
    <w:p w14:paraId="16EFE9C9" w14:textId="77777777" w:rsidR="00A917C1" w:rsidRPr="00A917C1" w:rsidRDefault="00A917C1" w:rsidP="00A917C1">
      <w:pPr>
        <w:pStyle w:val="ListBullet"/>
        <w:spacing w:after="40" w:line="252" w:lineRule="auto"/>
        <w:rPr>
          <w:color w:val="000000" w:themeColor="text1"/>
        </w:rPr>
      </w:pPr>
      <w:r w:rsidRPr="00A917C1">
        <w:rPr>
          <w:color w:val="000000" w:themeColor="text1"/>
        </w:rPr>
        <w:t>In GEMINI, residual nuclei are final products/recoils, so their energy plots should not receive thermal-emission Boltzmann overlays.</w:t>
      </w:r>
    </w:p>
    <w:p w14:paraId="0CE87374" w14:textId="77777777" w:rsidR="00A917C1" w:rsidRPr="00A917C1" w:rsidRDefault="00A917C1" w:rsidP="00A917C1">
      <w:pPr>
        <w:pStyle w:val="ListBullet"/>
        <w:spacing w:after="40" w:line="252" w:lineRule="auto"/>
        <w:rPr>
          <w:color w:val="000000" w:themeColor="text1"/>
        </w:rPr>
      </w:pPr>
      <w:r w:rsidRPr="00A917C1">
        <w:rPr>
          <w:color w:val="000000" w:themeColor="text1"/>
        </w:rPr>
        <w:t>Emitted neutrons, protons, and alpha particles are valid candidates for simple thermal reference curves.</w:t>
      </w:r>
    </w:p>
    <w:p w14:paraId="4CA1DBCB" w14:textId="77777777" w:rsidR="00A917C1" w:rsidRPr="00A917C1" w:rsidRDefault="00A917C1" w:rsidP="00A917C1">
      <w:pPr>
        <w:pStyle w:val="ListBullet"/>
        <w:spacing w:after="40" w:line="252" w:lineRule="auto"/>
        <w:rPr>
          <w:color w:val="000000" w:themeColor="text1"/>
        </w:rPr>
      </w:pPr>
      <w:r w:rsidRPr="00A917C1">
        <w:rPr>
          <w:color w:val="000000" w:themeColor="text1"/>
        </w:rPr>
        <w:t>For charged emitted particles, a Coulomb-barrier shift is useful and should be clearly displayed with a barrier marker.</w:t>
      </w:r>
    </w:p>
    <w:p w14:paraId="7879CC7D" w14:textId="77777777" w:rsidR="00A917C1" w:rsidRPr="00A917C1" w:rsidRDefault="00A917C1" w:rsidP="00A917C1">
      <w:pPr>
        <w:pStyle w:val="ListBullet"/>
        <w:spacing w:after="40" w:line="252" w:lineRule="auto"/>
        <w:rPr>
          <w:color w:val="000000" w:themeColor="text1"/>
        </w:rPr>
      </w:pPr>
      <w:r w:rsidRPr="00A917C1">
        <w:rPr>
          <w:color w:val="000000" w:themeColor="text1"/>
        </w:rPr>
        <w:t>IMF fragments should not use the simple Boltzmann/Coulomb overlay because GEMINI treats them as complex-fragment / asymmetric binary-decay products rather than ordinary light-particle evaporation products.</w:t>
      </w:r>
    </w:p>
    <w:p w14:paraId="73A6DE21" w14:textId="77777777" w:rsidR="00A917C1" w:rsidRPr="00A917C1" w:rsidRDefault="00A917C1" w:rsidP="00A917C1">
      <w:pPr>
        <w:pStyle w:val="ListBullet"/>
        <w:spacing w:after="40" w:line="252" w:lineRule="auto"/>
        <w:rPr>
          <w:color w:val="000000" w:themeColor="text1"/>
        </w:rPr>
      </w:pPr>
      <w:r w:rsidRPr="00A917C1">
        <w:rPr>
          <w:color w:val="000000" w:themeColor="text1"/>
        </w:rPr>
        <w:t>For IMF N vs Energy, use a Gaussian/normal fit only as a compact descriptive summary of the Monte Carlo distribution.</w:t>
      </w:r>
    </w:p>
    <w:p w14:paraId="63A48874" w14:textId="77777777" w:rsidR="00A917C1" w:rsidRPr="00A917C1" w:rsidRDefault="00A917C1" w:rsidP="00A917C1">
      <w:pPr>
        <w:pStyle w:val="ListBullet"/>
        <w:spacing w:after="40" w:line="252" w:lineRule="auto"/>
        <w:rPr>
          <w:color w:val="000000" w:themeColor="text1"/>
        </w:rPr>
      </w:pPr>
      <w:r w:rsidRPr="00A917C1">
        <w:rPr>
          <w:color w:val="000000" w:themeColor="text1"/>
        </w:rPr>
        <w:t>The actual GEMINI physics is contained in its Hauser-</w:t>
      </w:r>
      <w:proofErr w:type="spellStart"/>
      <w:r w:rsidRPr="00A917C1">
        <w:rPr>
          <w:color w:val="000000" w:themeColor="text1"/>
        </w:rPr>
        <w:t>Feshbach</w:t>
      </w:r>
      <w:proofErr w:type="spellEnd"/>
      <w:r w:rsidRPr="00A917C1">
        <w:rPr>
          <w:color w:val="000000" w:themeColor="text1"/>
        </w:rPr>
        <w:t>, Moretto binary-decay, and fission machinery; GUI overlays should be described as diagnostic plots, not as replacements for the model.</w:t>
      </w:r>
    </w:p>
    <w:p w14:paraId="3A13BCB5" w14:textId="77777777" w:rsidR="00A917C1" w:rsidRPr="00A917C1" w:rsidRDefault="00A917C1" w:rsidP="00A917C1">
      <w:pPr>
        <w:pStyle w:val="ListBullet"/>
        <w:numPr>
          <w:ilvl w:val="0"/>
          <w:numId w:val="0"/>
        </w:numPr>
        <w:spacing w:after="40"/>
        <w:ind w:left="360"/>
        <w:rPr>
          <w:color w:val="000000" w:themeColor="text1"/>
        </w:rPr>
      </w:pPr>
    </w:p>
    <w:p w14:paraId="7DF08194" w14:textId="44D748CA" w:rsidR="0001133E" w:rsidRPr="00A917C1" w:rsidRDefault="0001133E">
      <w:pPr>
        <w:spacing w:after="100"/>
        <w:rPr>
          <w:color w:val="000000" w:themeColor="text1"/>
        </w:rPr>
      </w:pPr>
    </w:p>
    <w:sectPr w:rsidR="0001133E" w:rsidRPr="00A917C1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9588F" w14:textId="77777777" w:rsidR="005A0F3C" w:rsidRDefault="005A0F3C">
      <w:pPr>
        <w:spacing w:after="0" w:line="240" w:lineRule="auto"/>
      </w:pPr>
      <w:r>
        <w:separator/>
      </w:r>
    </w:p>
  </w:endnote>
  <w:endnote w:type="continuationSeparator" w:id="0">
    <w:p w14:paraId="2010F3D9" w14:textId="77777777" w:rsidR="005A0F3C" w:rsidRDefault="005A0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8FAA4" w14:textId="77777777" w:rsidR="0001133E" w:rsidRDefault="00000000">
    <w:pPr>
      <w:pStyle w:val="Footer"/>
      <w:jc w:val="center"/>
    </w:pPr>
    <w:r>
      <w:t>GEMINI/GEMINI++ R&amp;D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F818F" w14:textId="77777777" w:rsidR="005A0F3C" w:rsidRDefault="005A0F3C">
      <w:pPr>
        <w:spacing w:after="0" w:line="240" w:lineRule="auto"/>
      </w:pPr>
      <w:r>
        <w:separator/>
      </w:r>
    </w:p>
  </w:footnote>
  <w:footnote w:type="continuationSeparator" w:id="0">
    <w:p w14:paraId="2E80C679" w14:textId="77777777" w:rsidR="005A0F3C" w:rsidRDefault="005A0F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2613610">
    <w:abstractNumId w:val="8"/>
  </w:num>
  <w:num w:numId="2" w16cid:durableId="1088313573">
    <w:abstractNumId w:val="6"/>
  </w:num>
  <w:num w:numId="3" w16cid:durableId="1316690973">
    <w:abstractNumId w:val="5"/>
  </w:num>
  <w:num w:numId="4" w16cid:durableId="6251294">
    <w:abstractNumId w:val="4"/>
  </w:num>
  <w:num w:numId="5" w16cid:durableId="864682215">
    <w:abstractNumId w:val="7"/>
  </w:num>
  <w:num w:numId="6" w16cid:durableId="1968077378">
    <w:abstractNumId w:val="3"/>
  </w:num>
  <w:num w:numId="7" w16cid:durableId="335108561">
    <w:abstractNumId w:val="2"/>
  </w:num>
  <w:num w:numId="8" w16cid:durableId="830951622">
    <w:abstractNumId w:val="1"/>
  </w:num>
  <w:num w:numId="9" w16cid:durableId="587470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33E"/>
    <w:rsid w:val="00034616"/>
    <w:rsid w:val="0006063C"/>
    <w:rsid w:val="0015074B"/>
    <w:rsid w:val="0029639D"/>
    <w:rsid w:val="00326F90"/>
    <w:rsid w:val="005A0F3C"/>
    <w:rsid w:val="0069199E"/>
    <w:rsid w:val="00A917C1"/>
    <w:rsid w:val="00AA1D8D"/>
    <w:rsid w:val="00B47730"/>
    <w:rsid w:val="00C565C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9B2910"/>
  <w14:defaultImageDpi w14:val="300"/>
  <w15:docId w15:val="{E3AEA1D8-424C-8A49-A5D3-474D90F35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intArjun Ray</cp:lastModifiedBy>
  <cp:revision>2</cp:revision>
  <dcterms:created xsi:type="dcterms:W3CDTF">2026-07-07T17:12:00Z</dcterms:created>
  <dcterms:modified xsi:type="dcterms:W3CDTF">2026-07-07T17:12:00Z</dcterms:modified>
  <cp:category/>
</cp:coreProperties>
</file>