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133E" w:rsidP="757A7ED9" w:rsidRDefault="00A917C1" w14:paraId="088B403B" w14:textId="35F53B99">
      <w:pPr>
        <w:jc w:val="center"/>
        <w:rPr>
          <w:rFonts w:ascii="Times New Roman" w:hAnsi="Times New Roman" w:eastAsia="Times New Roman" w:cs="Times New Roman"/>
          <w:b w:val="1"/>
          <w:bCs w:val="1"/>
          <w:sz w:val="48"/>
          <w:szCs w:val="48"/>
        </w:rPr>
      </w:pPr>
      <w:r w:rsidRPr="757A7ED9" w:rsidR="00A917C1">
        <w:rPr>
          <w:rFonts w:ascii="Times New Roman" w:hAnsi="Times New Roman" w:eastAsia="Times New Roman" w:cs="Times New Roman"/>
          <w:b w:val="1"/>
          <w:bCs w:val="1"/>
          <w:sz w:val="48"/>
          <w:szCs w:val="48"/>
        </w:rPr>
        <w:t>IMF</w:t>
      </w:r>
    </w:p>
    <w:p w:rsidR="0001133E" w:rsidP="757A7ED9" w:rsidRDefault="00000000" w14:paraId="682DFD26" w14:textId="33C5DAA3">
      <w:pPr>
        <w:spacing w:after="100"/>
        <w:rPr>
          <w:rFonts w:ascii="Times New Roman" w:hAnsi="Times New Roman" w:eastAsia="Times New Roman" w:cs="Times New Roman"/>
          <w:sz w:val="24"/>
          <w:szCs w:val="24"/>
        </w:rPr>
      </w:pPr>
      <w:r w:rsidRPr="757A7ED9" w:rsidR="00000000">
        <w:rPr>
          <w:rFonts w:ascii="Times New Roman" w:hAnsi="Times New Roman" w:eastAsia="Times New Roman" w:cs="Times New Roman"/>
          <w:sz w:val="24"/>
          <w:szCs w:val="24"/>
        </w:rPr>
        <w:t xml:space="preserve">This document summarizes the R&amp;D work done on the GEMINI/GEMINI++ GUI </w:t>
      </w:r>
      <w:r w:rsidRPr="757A7ED9" w:rsidR="00A917C1">
        <w:rPr>
          <w:rFonts w:ascii="Times New Roman" w:hAnsi="Times New Roman" w:eastAsia="Times New Roman" w:cs="Times New Roman"/>
          <w:sz w:val="24"/>
          <w:szCs w:val="24"/>
        </w:rPr>
        <w:t xml:space="preserve">code. </w:t>
      </w:r>
      <w:r w:rsidRPr="757A7ED9" w:rsidR="00000000">
        <w:rPr>
          <w:rFonts w:ascii="Times New Roman" w:hAnsi="Times New Roman" w:eastAsia="Times New Roman" w:cs="Times New Roman"/>
          <w:sz w:val="24"/>
          <w:szCs w:val="24"/>
        </w:rPr>
        <w:t xml:space="preserve">The focus was on how to treat residual nuclei, emitted </w:t>
      </w:r>
      <w:r w:rsidRPr="757A7ED9" w:rsidR="4DD70542">
        <w:rPr>
          <w:rFonts w:ascii="Times New Roman" w:hAnsi="Times New Roman" w:eastAsia="Times New Roman" w:cs="Times New Roman"/>
          <w:sz w:val="24"/>
          <w:szCs w:val="24"/>
        </w:rPr>
        <w:t>particles,</w:t>
      </w:r>
      <w:r w:rsidRPr="757A7ED9" w:rsidR="00A917C1">
        <w:rPr>
          <w:rFonts w:ascii="Times New Roman" w:hAnsi="Times New Roman" w:eastAsia="Times New Roman" w:cs="Times New Roman"/>
          <w:sz w:val="24"/>
          <w:szCs w:val="24"/>
        </w:rPr>
        <w:t xml:space="preserve"> and</w:t>
      </w:r>
      <w:r w:rsidRPr="757A7ED9" w:rsidR="00000000">
        <w:rPr>
          <w:rFonts w:ascii="Times New Roman" w:hAnsi="Times New Roman" w:eastAsia="Times New Roman" w:cs="Times New Roman"/>
          <w:sz w:val="24"/>
          <w:szCs w:val="24"/>
        </w:rPr>
        <w:t xml:space="preserve"> IMF fragments</w:t>
      </w:r>
      <w:r w:rsidRPr="757A7ED9" w:rsidR="00A917C1">
        <w:rPr>
          <w:rFonts w:ascii="Times New Roman" w:hAnsi="Times New Roman" w:eastAsia="Times New Roman" w:cs="Times New Roman"/>
          <w:sz w:val="24"/>
          <w:szCs w:val="24"/>
        </w:rPr>
        <w:t>.</w:t>
      </w:r>
    </w:p>
    <w:p w:rsidRPr="00A917C1" w:rsidR="0001133E" w:rsidP="757A7ED9" w:rsidRDefault="00A917C1" w14:paraId="025C57E2" w14:textId="473FEEDA">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1</w:t>
      </w:r>
      <w:r w:rsidRPr="757A7ED9" w:rsidR="00A917C1">
        <w:rPr>
          <w:rFonts w:ascii="Times New Roman" w:hAnsi="Times New Roman" w:eastAsia="Times New Roman" w:cs="Times New Roman"/>
          <w:color w:val="000000" w:themeColor="text1" w:themeTint="FF" w:themeShade="FF"/>
          <w:sz w:val="24"/>
          <w:szCs w:val="24"/>
        </w:rPr>
        <w:t>. IMF definition and interpretation</w:t>
      </w:r>
    </w:p>
    <w:p w:rsidRPr="00A917C1" w:rsidR="0001133E" w:rsidP="757A7ED9" w:rsidRDefault="00000000" w14:paraId="2BA42C0E" w14:textId="2420BBB9">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 xml:space="preserve">IMF means intermediate-mass </w:t>
      </w:r>
      <w:r w:rsidRPr="757A7ED9" w:rsidR="4007196E">
        <w:rPr>
          <w:rFonts w:ascii="Times New Roman" w:hAnsi="Times New Roman" w:eastAsia="Times New Roman" w:cs="Times New Roman"/>
          <w:color w:val="000000" w:themeColor="text1" w:themeTint="FF" w:themeShade="FF"/>
          <w:sz w:val="24"/>
          <w:szCs w:val="24"/>
        </w:rPr>
        <w:t>fragments</w:t>
      </w:r>
      <w:r w:rsidRPr="757A7ED9" w:rsidR="00000000">
        <w:rPr>
          <w:rFonts w:ascii="Times New Roman" w:hAnsi="Times New Roman" w:eastAsia="Times New Roman" w:cs="Times New Roman"/>
          <w:color w:val="000000" w:themeColor="text1" w:themeTint="FF" w:themeShade="FF"/>
          <w:sz w:val="24"/>
          <w:szCs w:val="24"/>
        </w:rPr>
        <w:t>.</w:t>
      </w:r>
    </w:p>
    <w:p w:rsidRPr="00A917C1" w:rsidR="0001133E" w:rsidP="757A7ED9" w:rsidRDefault="00000000" w14:paraId="543ADC58"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In ABLA07, the practical definition is IMF = Z &gt; 2, or equivalently Z &gt;= 3.</w:t>
      </w:r>
    </w:p>
    <w:p w:rsidRPr="00A917C1" w:rsidR="0001133E" w:rsidP="757A7ED9" w:rsidRDefault="00000000" w14:paraId="712402D8" w14:textId="5C4437E5">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 xml:space="preserve">This </w:t>
      </w:r>
      <w:r w:rsidRPr="757A7ED9" w:rsidR="14310C6C">
        <w:rPr>
          <w:rFonts w:ascii="Times New Roman" w:hAnsi="Times New Roman" w:eastAsia="Times New Roman" w:cs="Times New Roman"/>
          <w:color w:val="000000" w:themeColor="text1" w:themeTint="FF" w:themeShade="FF"/>
          <w:sz w:val="24"/>
          <w:szCs w:val="24"/>
        </w:rPr>
        <w:t>means</w:t>
      </w:r>
      <w:r w:rsidRPr="757A7ED9" w:rsidR="00000000">
        <w:rPr>
          <w:rFonts w:ascii="Times New Roman" w:hAnsi="Times New Roman" w:eastAsia="Times New Roman" w:cs="Times New Roman"/>
          <w:color w:val="000000" w:themeColor="text1" w:themeTint="FF" w:themeShade="FF"/>
          <w:sz w:val="24"/>
          <w:szCs w:val="24"/>
        </w:rPr>
        <w:t xml:space="preserve"> IMFs are heavier than protons, deuterons, tritons, 3He, and alpha particles.</w:t>
      </w:r>
    </w:p>
    <w:p w:rsidRPr="00A917C1" w:rsidR="0001133E" w:rsidP="757A7ED9" w:rsidRDefault="00000000" w14:paraId="0D8E015F"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IMFs sit between light-particle evaporation, complex-fragment emission, asymmetric fission, and multifragmentation.</w:t>
      </w:r>
    </w:p>
    <w:p w:rsidRPr="00A917C1" w:rsidR="0001133E" w:rsidP="757A7ED9" w:rsidRDefault="00A917C1" w14:paraId="1BD75861" w14:textId="70C7AAC0">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2</w:t>
      </w:r>
      <w:r w:rsidRPr="757A7ED9" w:rsidR="00A917C1">
        <w:rPr>
          <w:rFonts w:ascii="Times New Roman" w:hAnsi="Times New Roman" w:eastAsia="Times New Roman" w:cs="Times New Roman"/>
          <w:color w:val="000000" w:themeColor="text1" w:themeTint="FF" w:themeShade="FF"/>
          <w:sz w:val="24"/>
          <w:szCs w:val="24"/>
        </w:rPr>
        <w:t>. IMF treatment in GEMINI/GEMINI++</w:t>
      </w:r>
    </w:p>
    <w:p w:rsidRPr="00A917C1" w:rsidR="0001133E" w:rsidP="757A7ED9" w:rsidRDefault="00000000" w14:paraId="2F6643ED"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In GEMINI/GEMINI++, IMFs are not treated like ordinary light-particle evaporation products.</w:t>
      </w:r>
    </w:p>
    <w:p w:rsidRPr="00A917C1" w:rsidR="0001133E" w:rsidP="757A7ED9" w:rsidRDefault="00000000" w14:paraId="0148A7E7"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Light particles are handled by Hauser-Feshbach evaporation.</w:t>
      </w:r>
    </w:p>
    <w:p w:rsidRPr="00A917C1" w:rsidR="0001133E" w:rsidP="757A7ED9" w:rsidRDefault="00000000" w14:paraId="5B5E035C"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Heavier complex fragments are handled by Moretto-type binary-decay formalism.</w:t>
      </w:r>
    </w:p>
    <w:p w:rsidRPr="00A917C1" w:rsidR="0001133E" w:rsidP="757A7ED9" w:rsidRDefault="00000000" w14:paraId="40B3D456"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Heavy symmetric fission is treated separately through Bohr-Wheeler / fission systematics.</w:t>
      </w:r>
    </w:p>
    <w:p w:rsidRPr="00A917C1" w:rsidR="0001133E" w:rsidP="757A7ED9" w:rsidRDefault="00000000" w14:paraId="4DE5CC78"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Therefore, an IMF in GEMINI is better understood as a complex-fragment or asymmetric binary-decay product.</w:t>
      </w:r>
    </w:p>
    <w:p w:rsidRPr="00A917C1" w:rsidR="0001133E" w:rsidP="757A7ED9" w:rsidRDefault="00A917C1" w14:paraId="03E200A6" w14:textId="779D707D">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3</w:t>
      </w:r>
      <w:r w:rsidRPr="757A7ED9" w:rsidR="00A917C1">
        <w:rPr>
          <w:rFonts w:ascii="Times New Roman" w:hAnsi="Times New Roman" w:eastAsia="Times New Roman" w:cs="Times New Roman"/>
          <w:color w:val="000000" w:themeColor="text1" w:themeTint="FF" w:themeShade="FF"/>
          <w:sz w:val="24"/>
          <w:szCs w:val="24"/>
        </w:rPr>
        <w:t>. Isospin thermometer research</w:t>
      </w:r>
    </w:p>
    <w:p w:rsidRPr="00A917C1" w:rsidR="0001133E" w:rsidP="757A7ED9" w:rsidRDefault="00000000" w14:paraId="103F86BF"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The isospin thermometer uses the final isotopic composition of fragments, especially N/Z, to infer freeze-out temperature.</w:t>
      </w:r>
    </w:p>
    <w:p w:rsidRPr="00A917C1" w:rsidR="0001133E" w:rsidP="757A7ED9" w:rsidRDefault="00000000" w14:paraId="702107D4"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If residues remain neutron-rich, they did not undergo a long evaporation cascade.</w:t>
      </w:r>
    </w:p>
    <w:p w:rsidRPr="00A917C1" w:rsidR="0001133E" w:rsidP="757A7ED9" w:rsidRDefault="00000000" w14:paraId="3E3643EE"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If residues move toward the evaporation-residue corridor, they underwent more evaporation.</w:t>
      </w:r>
    </w:p>
    <w:p w:rsidRPr="00A917C1" w:rsidR="0001133E" w:rsidP="757A7ED9" w:rsidRDefault="00000000" w14:paraId="42D8DB4D"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For 238U + Pb at 1 A GeV, Schmidt et al. found a freeze-out temperature of about 5 MeV.</w:t>
      </w:r>
    </w:p>
    <w:p w:rsidRPr="00A917C1" w:rsidR="0001133E" w:rsidP="757A7ED9" w:rsidRDefault="00000000" w14:paraId="1461EAA6"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This helped separate the interpretation of final residues from directly emitted particles.</w:t>
      </w:r>
    </w:p>
    <w:p w:rsidRPr="00A917C1" w:rsidR="0001133E" w:rsidP="757A7ED9" w:rsidRDefault="00A917C1" w14:paraId="0B739556" w14:textId="60476863">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4</w:t>
      </w:r>
      <w:r w:rsidRPr="757A7ED9" w:rsidR="00A917C1">
        <w:rPr>
          <w:rFonts w:ascii="Times New Roman" w:hAnsi="Times New Roman" w:eastAsia="Times New Roman" w:cs="Times New Roman"/>
          <w:color w:val="000000" w:themeColor="text1" w:themeTint="FF" w:themeShade="FF"/>
          <w:sz w:val="24"/>
          <w:szCs w:val="24"/>
        </w:rPr>
        <w:t>. Boltzmann / Maxwell-Boltzmann distribution research</w:t>
      </w:r>
    </w:p>
    <w:p w:rsidRPr="00A917C1" w:rsidR="0001133E" w:rsidP="757A7ED9" w:rsidRDefault="00000000" w14:paraId="6C34AC1A"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ABLA07 describes emitted-particle kinetic-energy spectra using Maxwell-Boltzmann-like forms.</w:t>
      </w:r>
    </w:p>
    <w:p w:rsidRPr="00A917C1" w:rsidR="0001133E" w:rsidP="757A7ED9" w:rsidRDefault="00000000" w14:paraId="3BBB5390"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 xml:space="preserve">For neutrons, use N(E) </w:t>
      </w:r>
      <w:bookmarkStart w:name="_Int_6J53IlTt" w:id="128936996"/>
      <w:r w:rsidRPr="757A7ED9" w:rsidR="00000000">
        <w:rPr>
          <w:rFonts w:ascii="Times New Roman" w:hAnsi="Times New Roman" w:eastAsia="Times New Roman" w:cs="Times New Roman"/>
          <w:color w:val="000000" w:themeColor="text1" w:themeTint="FF" w:themeShade="FF"/>
          <w:sz w:val="24"/>
          <w:szCs w:val="24"/>
        </w:rPr>
        <w:t>proportional</w:t>
      </w:r>
      <w:bookmarkEnd w:id="128936996"/>
      <w:r w:rsidRPr="757A7ED9" w:rsidR="00000000">
        <w:rPr>
          <w:rFonts w:ascii="Times New Roman" w:hAnsi="Times New Roman" w:eastAsia="Times New Roman" w:cs="Times New Roman"/>
          <w:color w:val="000000" w:themeColor="text1" w:themeTint="FF" w:themeShade="FF"/>
          <w:sz w:val="24"/>
          <w:szCs w:val="24"/>
        </w:rPr>
        <w:t xml:space="preserve"> to sqrt(E) exp(-E/T).</w:t>
      </w:r>
    </w:p>
    <w:p w:rsidRPr="00A917C1" w:rsidR="0001133E" w:rsidP="757A7ED9" w:rsidRDefault="00000000" w14:paraId="1C81875E"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For charged emitted particles, include a Coulomb-barrier shift: N(E) = 0 for E &lt;= B, and N(E) proportional to ((E-</w:t>
      </w:r>
      <w:bookmarkStart w:name="_Int_eRd314Gq" w:id="2054403419"/>
      <w:r w:rsidRPr="757A7ED9" w:rsidR="00000000">
        <w:rPr>
          <w:rFonts w:ascii="Times New Roman" w:hAnsi="Times New Roman" w:eastAsia="Times New Roman" w:cs="Times New Roman"/>
          <w:color w:val="000000" w:themeColor="text1" w:themeTint="FF" w:themeShade="FF"/>
          <w:sz w:val="24"/>
          <w:szCs w:val="24"/>
        </w:rPr>
        <w:t>B)^</w:t>
      </w:r>
      <w:bookmarkEnd w:id="2054403419"/>
      <w:r w:rsidRPr="757A7ED9" w:rsidR="00000000">
        <w:rPr>
          <w:rFonts w:ascii="Times New Roman" w:hAnsi="Times New Roman" w:eastAsia="Times New Roman" w:cs="Times New Roman"/>
          <w:color w:val="000000" w:themeColor="text1" w:themeTint="FF" w:themeShade="FF"/>
          <w:sz w:val="24"/>
          <w:szCs w:val="24"/>
        </w:rPr>
        <w:t>(3/2)/E) exp(-(E-B)/T) for E &gt; B.</w:t>
      </w:r>
    </w:p>
    <w:p w:rsidRPr="00A917C1" w:rsidR="0001133E" w:rsidP="757A7ED9" w:rsidRDefault="00000000" w14:paraId="3032E2A3"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This is most appropriate for emitted neutrons, protons, and alpha particles.</w:t>
      </w:r>
    </w:p>
    <w:p w:rsidRPr="00A917C1" w:rsidR="0001133E" w:rsidP="757A7ED9" w:rsidRDefault="00A917C1" w14:paraId="38E5593E" w14:textId="7CEC7361">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5</w:t>
      </w:r>
      <w:r w:rsidRPr="757A7ED9" w:rsidR="00A917C1">
        <w:rPr>
          <w:rFonts w:ascii="Times New Roman" w:hAnsi="Times New Roman" w:eastAsia="Times New Roman" w:cs="Times New Roman"/>
          <w:color w:val="000000" w:themeColor="text1" w:themeTint="FF" w:themeShade="FF"/>
          <w:sz w:val="24"/>
          <w:szCs w:val="24"/>
        </w:rPr>
        <w:t>. Why residual nuclei should not receive Boltzmann overlays</w:t>
      </w:r>
    </w:p>
    <w:p w:rsidRPr="00A917C1" w:rsidR="0001133E" w:rsidP="757A7ED9" w:rsidRDefault="00000000" w14:paraId="519D83B4" w14:textId="77777777">
      <w:pPr>
        <w:pStyle w:val="ListBullet"/>
        <w:spacing w:after="40"/>
        <w:rPr>
          <w:rFonts w:ascii="Times New Roman" w:hAnsi="Times New Roman" w:eastAsia="Times New Roman" w:cs="Times New Roman"/>
          <w:color w:val="000000" w:themeColor="text1"/>
          <w:sz w:val="24"/>
          <w:szCs w:val="24"/>
        </w:rPr>
      </w:pPr>
      <w:bookmarkStart w:name="_Int_rfWV6vaW" w:id="1361132947"/>
      <w:r w:rsidRPr="757A7ED9" w:rsidR="00000000">
        <w:rPr>
          <w:rFonts w:ascii="Times New Roman" w:hAnsi="Times New Roman" w:eastAsia="Times New Roman" w:cs="Times New Roman"/>
          <w:color w:val="000000" w:themeColor="text1" w:themeTint="FF" w:themeShade="FF"/>
          <w:sz w:val="24"/>
          <w:szCs w:val="24"/>
        </w:rPr>
        <w:t>Residual nuclei are final remaining products after evaporation, not directly emitted particles.</w:t>
      </w:r>
      <w:bookmarkEnd w:id="1361132947"/>
    </w:p>
    <w:p w:rsidRPr="00A917C1" w:rsidR="0001133E" w:rsidP="757A7ED9" w:rsidRDefault="00000000" w14:paraId="22D2649D"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Their energy distribution reflects recoil kinematics, momentum conservation, decay history, source recoil, and final product selection.</w:t>
      </w:r>
    </w:p>
    <w:p w:rsidRPr="00A917C1" w:rsidR="0001133E" w:rsidP="757A7ED9" w:rsidRDefault="00000000" w14:paraId="7C6A94CD"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Therefore, applying a thermal emission formula to residual nuclei is not physically meaningful.</w:t>
      </w:r>
    </w:p>
    <w:p w:rsidRPr="00A917C1" w:rsidR="0001133E" w:rsidP="757A7ED9" w:rsidRDefault="00000000" w14:paraId="1FDB7E67"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Final decision: residual nuclei N vs Energy should show histogram + Gaussian descriptive fit only.</w:t>
      </w:r>
    </w:p>
    <w:p w:rsidRPr="00A917C1" w:rsidR="0001133E" w:rsidP="757A7ED9" w:rsidRDefault="00A917C1" w14:paraId="4E4D08B1" w14:textId="69D22E99">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6</w:t>
      </w:r>
      <w:r w:rsidRPr="757A7ED9" w:rsidR="00A917C1">
        <w:rPr>
          <w:rFonts w:ascii="Times New Roman" w:hAnsi="Times New Roman" w:eastAsia="Times New Roman" w:cs="Times New Roman"/>
          <w:color w:val="000000" w:themeColor="text1" w:themeTint="FF" w:themeShade="FF"/>
          <w:sz w:val="24"/>
          <w:szCs w:val="24"/>
        </w:rPr>
        <w:t>. Source-frame energy conclusion</w:t>
      </w:r>
    </w:p>
    <w:p w:rsidRPr="00A917C1" w:rsidR="0001133E" w:rsidP="757A7ED9" w:rsidRDefault="00000000" w14:paraId="7C5353D3"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Boltzmann comparison must use C.M. / source energy, not lab energy.</w:t>
      </w:r>
    </w:p>
    <w:p w:rsidRPr="00A917C1" w:rsidR="0001133E" w:rsidP="757A7ED9" w:rsidRDefault="00000000" w14:paraId="23C3CA94"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Use entry.cmEnergy when it is available.</w:t>
      </w:r>
    </w:p>
    <w:p w:rsidRPr="00A917C1" w:rsidR="0001133E" w:rsidP="757A7ED9" w:rsidRDefault="00A917C1" w14:paraId="25568D78" w14:textId="6C168ABE">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7</w:t>
      </w:r>
      <w:r w:rsidRPr="757A7ED9" w:rsidR="00A917C1">
        <w:rPr>
          <w:rFonts w:ascii="Times New Roman" w:hAnsi="Times New Roman" w:eastAsia="Times New Roman" w:cs="Times New Roman"/>
          <w:color w:val="000000" w:themeColor="text1" w:themeTint="FF" w:themeShade="FF"/>
          <w:sz w:val="24"/>
          <w:szCs w:val="24"/>
        </w:rPr>
        <w:t>. Code-level R&amp;D findings</w:t>
      </w:r>
    </w:p>
    <w:p w:rsidRPr="00A917C1" w:rsidR="0001133E" w:rsidP="757A7ED9" w:rsidRDefault="00000000" w14:paraId="047DFA35"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The code already had a useful structure for collecting angular and energy samples.</w:t>
      </w:r>
    </w:p>
    <w:p w:rsidRPr="00A917C1" w:rsidR="0001133E" w:rsidP="757A7ED9" w:rsidRDefault="00000000" w14:paraId="6FF46CE9"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AngularDistEntry stores kineticEnergy, thetaDeg, vz, vxy, and cmEnergy.</w:t>
      </w:r>
    </w:p>
    <w:p w:rsidRPr="00A917C1" w:rsidR="0001133E" w:rsidP="757A7ED9" w:rsidRDefault="00000000" w14:paraId="0F03268D" w14:textId="77777777">
      <w:pPr>
        <w:pStyle w:val="ListBullet"/>
        <w:spacing w:after="40"/>
        <w:rPr>
          <w:rFonts w:ascii="Times New Roman" w:hAnsi="Times New Roman" w:eastAsia="Times New Roman" w:cs="Times New Roman"/>
          <w:color w:val="000000" w:themeColor="text1"/>
          <w:sz w:val="24"/>
          <w:szCs w:val="24"/>
        </w:rPr>
      </w:pPr>
      <w:r w:rsidRPr="757A7ED9" w:rsidR="00000000">
        <w:rPr>
          <w:rFonts w:ascii="Times New Roman" w:hAnsi="Times New Roman" w:eastAsia="Times New Roman" w:cs="Times New Roman"/>
          <w:color w:val="000000" w:themeColor="text1" w:themeTint="FF" w:themeShade="FF"/>
          <w:sz w:val="24"/>
          <w:szCs w:val="24"/>
        </w:rPr>
        <w:t xml:space="preserve">The code </w:t>
      </w:r>
      <w:bookmarkStart w:name="_Int_6p677zZ3" w:id="695946579"/>
      <w:r w:rsidRPr="757A7ED9" w:rsidR="00000000">
        <w:rPr>
          <w:rFonts w:ascii="Times New Roman" w:hAnsi="Times New Roman" w:eastAsia="Times New Roman" w:cs="Times New Roman"/>
          <w:color w:val="000000" w:themeColor="text1" w:themeTint="FF" w:themeShade="FF"/>
          <w:sz w:val="24"/>
          <w:szCs w:val="24"/>
        </w:rPr>
        <w:t>already</w:t>
      </w:r>
      <w:bookmarkEnd w:id="695946579"/>
      <w:r w:rsidRPr="757A7ED9" w:rsidR="00000000">
        <w:rPr>
          <w:rFonts w:ascii="Times New Roman" w:hAnsi="Times New Roman" w:eastAsia="Times New Roman" w:cs="Times New Roman"/>
          <w:color w:val="000000" w:themeColor="text1" w:themeTint="FF" w:themeShade="FF"/>
          <w:sz w:val="24"/>
          <w:szCs w:val="24"/>
        </w:rPr>
        <w:t xml:space="preserve"> </w:t>
      </w:r>
      <w:bookmarkStart w:name="_Int_7bpeU0mp" w:id="1350455664"/>
      <w:r w:rsidRPr="757A7ED9" w:rsidR="00000000">
        <w:rPr>
          <w:rFonts w:ascii="Times New Roman" w:hAnsi="Times New Roman" w:eastAsia="Times New Roman" w:cs="Times New Roman"/>
          <w:color w:val="000000" w:themeColor="text1" w:themeTint="FF" w:themeShade="FF"/>
          <w:sz w:val="24"/>
          <w:szCs w:val="24"/>
        </w:rPr>
        <w:t>separated</w:t>
      </w:r>
      <w:bookmarkEnd w:id="1350455664"/>
      <w:r w:rsidRPr="757A7ED9" w:rsidR="00000000">
        <w:rPr>
          <w:rFonts w:ascii="Times New Roman" w:hAnsi="Times New Roman" w:eastAsia="Times New Roman" w:cs="Times New Roman"/>
          <w:color w:val="000000" w:themeColor="text1" w:themeTint="FF" w:themeShade="FF"/>
          <w:sz w:val="24"/>
          <w:szCs w:val="24"/>
        </w:rPr>
        <w:t xml:space="preserve"> angularDistByZN, imfAngularByZN, neutronAngular, protonAngular, alphaAngular, and gammaAngular.</w:t>
      </w:r>
    </w:p>
    <w:p w:rsidRPr="00A917C1" w:rsidR="00A917C1" w:rsidP="757A7ED9" w:rsidRDefault="00A917C1" w14:paraId="48E511FD" w14:textId="1618CF9F">
      <w:pPr>
        <w:pStyle w:val="Heading1"/>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8</w:t>
      </w:r>
      <w:r w:rsidRPr="757A7ED9" w:rsidR="00A917C1">
        <w:rPr>
          <w:rFonts w:ascii="Times New Roman" w:hAnsi="Times New Roman" w:eastAsia="Times New Roman" w:cs="Times New Roman"/>
          <w:color w:val="000000" w:themeColor="text1" w:themeTint="FF" w:themeShade="FF"/>
          <w:sz w:val="24"/>
          <w:szCs w:val="24"/>
        </w:rPr>
        <w:t xml:space="preserve">. </w:t>
      </w:r>
      <w:bookmarkStart w:name="_Int_7SQByGID" w:id="429908274"/>
      <w:r w:rsidRPr="757A7ED9" w:rsidR="00A917C1">
        <w:rPr>
          <w:rFonts w:ascii="Times New Roman" w:hAnsi="Times New Roman" w:eastAsia="Times New Roman" w:cs="Times New Roman"/>
          <w:color w:val="000000" w:themeColor="text1" w:themeTint="FF" w:themeShade="FF"/>
          <w:sz w:val="24"/>
          <w:szCs w:val="24"/>
        </w:rPr>
        <w:t>Final conclusion</w:t>
      </w:r>
      <w:bookmarkEnd w:id="429908274"/>
      <w:r w:rsidRPr="757A7ED9" w:rsidR="00A917C1">
        <w:rPr>
          <w:rFonts w:ascii="Times New Roman" w:hAnsi="Times New Roman" w:eastAsia="Times New Roman" w:cs="Times New Roman"/>
          <w:color w:val="000000" w:themeColor="text1" w:themeTint="FF" w:themeShade="FF"/>
          <w:sz w:val="24"/>
          <w:szCs w:val="24"/>
        </w:rPr>
        <w:t xml:space="preserve"> in terms of GEMINI</w:t>
      </w:r>
    </w:p>
    <w:p w:rsidRPr="00A917C1" w:rsidR="00A917C1" w:rsidP="757A7ED9" w:rsidRDefault="00A917C1" w14:paraId="16EFE9C9" w14:textId="77777777">
      <w:pPr>
        <w:pStyle w:val="ListBullet"/>
        <w:spacing w:after="40" w:line="252" w:lineRule="auto"/>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In GEMINI, residual nuclei are final products/recoils, so their energy plots should not receive thermal-emission Boltzmann overlays.</w:t>
      </w:r>
    </w:p>
    <w:p w:rsidRPr="00A917C1" w:rsidR="00A917C1" w:rsidP="757A7ED9" w:rsidRDefault="00A917C1" w14:paraId="0CE87374" w14:textId="77777777">
      <w:pPr>
        <w:pStyle w:val="ListBullet"/>
        <w:spacing w:after="40" w:line="252" w:lineRule="auto"/>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Emitted neutrons, protons, and alpha particles are valid candidates for simple thermal reference curves.</w:t>
      </w:r>
    </w:p>
    <w:p w:rsidRPr="00A917C1" w:rsidR="00A917C1" w:rsidP="757A7ED9" w:rsidRDefault="00A917C1" w14:paraId="4CA1DBCB" w14:textId="77777777">
      <w:pPr>
        <w:pStyle w:val="ListBullet"/>
        <w:spacing w:after="40" w:line="252" w:lineRule="auto"/>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For charged emitted particles, a Coulomb-barrier shift is useful and should be clearly displayed with a barrier marker.</w:t>
      </w:r>
    </w:p>
    <w:p w:rsidRPr="00A917C1" w:rsidR="00A917C1" w:rsidP="757A7ED9" w:rsidRDefault="00A917C1" w14:paraId="7879CC7D" w14:textId="77777777">
      <w:pPr>
        <w:pStyle w:val="ListBullet"/>
        <w:spacing w:after="40" w:line="252" w:lineRule="auto"/>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IMF fragments should not use the simple Boltzmann/Coulomb overlay because GEMINI treats them as complex-fragment / asymmetric binary-decay products rather than ordinary light-particle evaporation products.</w:t>
      </w:r>
    </w:p>
    <w:p w:rsidRPr="00A917C1" w:rsidR="00A917C1" w:rsidP="757A7ED9" w:rsidRDefault="00A917C1" w14:paraId="73A6DE21" w14:textId="77777777">
      <w:pPr>
        <w:pStyle w:val="ListBullet"/>
        <w:spacing w:after="40" w:line="252" w:lineRule="auto"/>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For IMF N vs Energy, use a Gaussian/normal fit only as a compact descriptive summary of the Monte Carlo distribution.</w:t>
      </w:r>
    </w:p>
    <w:p w:rsidRPr="00A917C1" w:rsidR="00A917C1" w:rsidP="757A7ED9" w:rsidRDefault="00A917C1" w14:paraId="63A48874" w14:textId="77777777">
      <w:pPr>
        <w:pStyle w:val="ListBullet"/>
        <w:spacing w:after="40" w:line="252" w:lineRule="auto"/>
        <w:rPr>
          <w:rFonts w:ascii="Times New Roman" w:hAnsi="Times New Roman" w:eastAsia="Times New Roman" w:cs="Times New Roman"/>
          <w:color w:val="000000" w:themeColor="text1"/>
          <w:sz w:val="24"/>
          <w:szCs w:val="24"/>
        </w:rPr>
      </w:pPr>
      <w:r w:rsidRPr="757A7ED9" w:rsidR="00A917C1">
        <w:rPr>
          <w:rFonts w:ascii="Times New Roman" w:hAnsi="Times New Roman" w:eastAsia="Times New Roman" w:cs="Times New Roman"/>
          <w:color w:val="000000" w:themeColor="text1" w:themeTint="FF" w:themeShade="FF"/>
          <w:sz w:val="24"/>
          <w:szCs w:val="24"/>
        </w:rPr>
        <w:t>The actual GEMINI physics is contained in its Hauser-</w:t>
      </w:r>
      <w:r w:rsidRPr="757A7ED9" w:rsidR="00A917C1">
        <w:rPr>
          <w:rFonts w:ascii="Times New Roman" w:hAnsi="Times New Roman" w:eastAsia="Times New Roman" w:cs="Times New Roman"/>
          <w:color w:val="000000" w:themeColor="text1" w:themeTint="FF" w:themeShade="FF"/>
          <w:sz w:val="24"/>
          <w:szCs w:val="24"/>
        </w:rPr>
        <w:t>Feshbach</w:t>
      </w:r>
      <w:r w:rsidRPr="757A7ED9" w:rsidR="00A917C1">
        <w:rPr>
          <w:rFonts w:ascii="Times New Roman" w:hAnsi="Times New Roman" w:eastAsia="Times New Roman" w:cs="Times New Roman"/>
          <w:color w:val="000000" w:themeColor="text1" w:themeTint="FF" w:themeShade="FF"/>
          <w:sz w:val="24"/>
          <w:szCs w:val="24"/>
        </w:rPr>
        <w:t>, Moretto binary-decay, and fission machinery; GUI overlays should be described as diagnostic plots, not as replacements for the model.</w:t>
      </w:r>
    </w:p>
    <w:p w:rsidR="757A7ED9" w:rsidP="757A7ED9" w:rsidRDefault="757A7ED9" w14:paraId="02EC1173" w14:textId="232B79BE">
      <w:pPr>
        <w:pStyle w:val="Normal"/>
        <w:spacing w:after="100" w:line="240" w:lineRule="auto"/>
        <w:jc w:val="center"/>
        <w:rPr>
          <w:rFonts w:ascii="Times New Roman" w:hAnsi="Times New Roman" w:eastAsia="Times New Roman" w:cs="Times New Roman"/>
          <w:b w:val="1"/>
          <w:bCs w:val="1"/>
          <w:i w:val="0"/>
          <w:iCs w:val="0"/>
          <w:caps w:val="0"/>
          <w:smallCaps w:val="0"/>
          <w:noProof w:val="0"/>
          <w:color w:val="auto"/>
          <w:sz w:val="28"/>
          <w:szCs w:val="28"/>
          <w:lang w:val="en-US"/>
        </w:rPr>
      </w:pPr>
    </w:p>
    <w:p w:rsidR="64640EF4" w:rsidP="757A7ED9" w:rsidRDefault="64640EF4" w14:paraId="7F6DB68F" w14:textId="640A3BBA">
      <w:pPr>
        <w:pStyle w:val="Normal"/>
        <w:spacing w:after="100" w:line="240" w:lineRule="auto"/>
        <w:jc w:val="center"/>
      </w:pPr>
      <w:r w:rsidRPr="757A7ED9" w:rsidR="64640EF4">
        <w:rPr>
          <w:rFonts w:ascii="Times New Roman" w:hAnsi="Times New Roman" w:eastAsia="Times New Roman" w:cs="Times New Roman"/>
          <w:b w:val="1"/>
          <w:bCs w:val="1"/>
          <w:i w:val="0"/>
          <w:iCs w:val="0"/>
          <w:caps w:val="0"/>
          <w:smallCaps w:val="0"/>
          <w:noProof w:val="0"/>
          <w:color w:val="auto"/>
          <w:sz w:val="28"/>
          <w:szCs w:val="28"/>
          <w:lang w:val="en-US"/>
        </w:rPr>
        <w:t>Enhanced Intermediate-Mass-Fragment Calculations in GEMINI</w:t>
      </w:r>
    </w:p>
    <w:p w:rsidR="757A7ED9" w:rsidP="757A7ED9" w:rsidRDefault="757A7ED9" w14:paraId="1451ED50" w14:textId="22FFC3BD">
      <w:pPr>
        <w:pStyle w:val="Normal"/>
        <w:spacing w:after="100" w:line="240" w:lineRule="auto"/>
        <w:jc w:val="center"/>
        <w:rPr>
          <w:rFonts w:ascii="Times New Roman" w:hAnsi="Times New Roman" w:eastAsia="Times New Roman" w:cs="Times New Roman"/>
          <w:b w:val="1"/>
          <w:bCs w:val="1"/>
          <w:i w:val="0"/>
          <w:iCs w:val="0"/>
          <w:caps w:val="0"/>
          <w:smallCaps w:val="0"/>
          <w:noProof w:val="0"/>
          <w:color w:val="auto"/>
          <w:sz w:val="28"/>
          <w:szCs w:val="28"/>
          <w:lang w:val="en-US"/>
        </w:rPr>
      </w:pPr>
    </w:p>
    <w:p w:rsidR="64640EF4" w:rsidP="757A7ED9" w:rsidRDefault="64640EF4" w14:paraId="1EC3D4D4" w14:textId="5EB64BBB">
      <w:pPr>
        <w:spacing w:after="6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GEMINI, IMF production is treated </w:t>
      </w:r>
      <w:bookmarkStart w:name="_Int_HrYs4NdJ" w:id="1079453913"/>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mainly as</w:t>
      </w:r>
      <w:bookmarkEnd w:id="1079453913"/>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asymmetric binary decay of the compound nucleus.</w:t>
      </w:r>
    </w:p>
    <w:p w:rsidR="64640EF4" w:rsidP="757A7ED9" w:rsidRDefault="64640EF4" w14:paraId="3B8F24B3" w14:textId="385F9338">
      <w:pPr>
        <w:spacing w:after="60" w:line="240" w:lineRule="auto"/>
        <w:ind w:firstLine="0"/>
      </w:pP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physics is controlled by competition between all available decay channels. Each channel has a decay width, Γ, which measures how likely that process is. The probability of choosing channel i is</w:t>
      </w:r>
    </w:p>
    <w:p w:rsidR="757A7ED9" w:rsidP="757A7ED9" w:rsidRDefault="757A7ED9" w14:paraId="00BC065A" w14:textId="1742E8CC">
      <w:pPr>
        <w:spacing w:after="6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640EF4" w:rsidP="757A7ED9" w:rsidRDefault="64640EF4" w14:paraId="0ED25464" w14:textId="19E8E5C4">
      <w:pPr>
        <w:spacing w:after="60" w:line="240" w:lineRule="auto"/>
        <w:jc w:val="center"/>
      </w:pPr>
      <w:r w:rsidRPr="757A7ED9" w:rsidR="64640EF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Pᵢ = Γᵢ / ΣⱼΓⱼ</w:t>
      </w:r>
    </w:p>
    <w:p w:rsidR="757A7ED9" w:rsidP="757A7ED9" w:rsidRDefault="757A7ED9" w14:paraId="57063608" w14:textId="4A85491A">
      <w:pPr>
        <w:spacing w:after="60" w:line="240" w:lineRule="auto"/>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64640EF4" w:rsidP="757A7ED9" w:rsidRDefault="64640EF4" w14:paraId="47BE659B" w14:textId="172C79C2">
      <w:pPr>
        <w:spacing w:after="6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IMF </w:t>
      </w:r>
      <w:r w:rsidRPr="757A7ED9" w:rsidR="327E51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emissions are</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often rare, especially at low excitation energy. </w:t>
      </w:r>
      <w:bookmarkStart w:name="_Int_Ygcxbkrn" w:id="1254093571"/>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nucleus must overcome a relatively large barrier to divide into two charged fragments, while neutron or light-particle evaporation may be easier.</w:t>
      </w:r>
      <w:bookmarkEnd w:id="1254093571"/>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normal Monte Carlo calculation may therefore generate very few IMF events, even after many thousands of decay cascades. This gives noisy isotope yields, energy </w:t>
      </w:r>
      <w:r w:rsidRPr="757A7ED9" w:rsidR="16E566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spectra,</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angular distributions.</w:t>
      </w:r>
    </w:p>
    <w:p w:rsidR="757A7ED9" w:rsidP="757A7ED9" w:rsidRDefault="757A7ED9" w14:paraId="40DF13A9" w14:textId="553D3806">
      <w:pPr>
        <w:spacing w:after="60" w:line="240" w:lineRule="auto"/>
        <w:ind w:firstLine="2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640EF4" w:rsidP="757A7ED9" w:rsidRDefault="64640EF4" w14:paraId="71EC0525" w14:textId="085F4A15">
      <w:pPr>
        <w:spacing w:after="60" w:line="240" w:lineRule="auto"/>
        <w:ind w:firstLine="0"/>
      </w:pP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Enhanced IMF mode uses importance sampling to solve this problem. GEMINI samples IMF-producing paths more often than their natural probability would normally allow. To avoid changing the final physics, every simulated event receives a correction weight. An event that has been artificially made easier to generate </w:t>
      </w:r>
      <w:bookmarkStart w:name="_Int_cJi31911" w:id="1828806729"/>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contributes</w:t>
      </w:r>
      <w:bookmarkEnd w:id="1828806729"/>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less than one full physical event. The weighted IMF probability is</w:t>
      </w:r>
    </w:p>
    <w:p w:rsidR="757A7ED9" w:rsidP="757A7ED9" w:rsidRDefault="757A7ED9" w14:paraId="2A88FB42" w14:textId="5223A340">
      <w:pPr>
        <w:spacing w:after="6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640EF4" w:rsidP="757A7ED9" w:rsidRDefault="64640EF4" w14:paraId="3EC34DF6" w14:textId="6E870C50">
      <w:pPr>
        <w:spacing w:after="40" w:line="240" w:lineRule="auto"/>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57A7ED9" w:rsidR="64640EF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P_IMF = (Σ IMF-event weights) / (Σ all-event weights)</w:t>
      </w:r>
    </w:p>
    <w:p w:rsidR="64640EF4" w:rsidP="757A7ED9" w:rsidRDefault="64640EF4" w14:paraId="03E4583A" w14:textId="60C4A23B">
      <w:pPr>
        <w:spacing w:after="60" w:line="240" w:lineRule="auto"/>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57A7ED9" w:rsidR="64640EF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σ_IMF ≈ σ_CN × P_IMF</w:t>
      </w:r>
    </w:p>
    <w:p w:rsidR="757A7ED9" w:rsidP="757A7ED9" w:rsidRDefault="757A7ED9" w14:paraId="5452753E" w14:textId="2361FFF9">
      <w:pPr>
        <w:spacing w:after="6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4640EF4" w:rsidP="757A7ED9" w:rsidRDefault="64640EF4" w14:paraId="64E7AC58" w14:textId="373CEA4A">
      <w:pPr>
        <w:spacing w:after="6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Here, </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σ_CN</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the compound-nucleus or fusion cross section. The same weights must also be used in fragment yields and distributions. For example, the content of an angular bin is N(θ) = </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Σw</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ᵢ, not simply the number of generated points. A differential angular cross section is then obtained by dividing the weighted yield by the solid angle of the bin, approximately 2π </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sinθ</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Δθ</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57A7ED9" w:rsidP="757A7ED9" w:rsidRDefault="757A7ED9" w14:paraId="2132B5D6" w14:textId="6D917C98">
      <w:pPr>
        <w:spacing w:before="40" w:after="40" w:line="240" w:lineRule="auto"/>
        <w:rPr>
          <w:rFonts w:ascii="Times New Roman" w:hAnsi="Times New Roman" w:eastAsia="Times New Roman" w:cs="Times New Roman"/>
          <w:b w:val="1"/>
          <w:bCs w:val="1"/>
          <w:i w:val="0"/>
          <w:iCs w:val="0"/>
          <w:caps w:val="0"/>
          <w:smallCaps w:val="0"/>
          <w:noProof w:val="0"/>
          <w:color w:val="1F4E79"/>
          <w:sz w:val="24"/>
          <w:szCs w:val="24"/>
          <w:lang w:val="en-US"/>
        </w:rPr>
      </w:pPr>
    </w:p>
    <w:p w:rsidR="64640EF4" w:rsidP="757A7ED9" w:rsidRDefault="64640EF4" w14:paraId="563C995F" w14:textId="18A3462F">
      <w:pPr>
        <w:spacing w:before="40" w:after="40" w:line="240" w:lineRule="auto"/>
        <w:rPr>
          <w:rFonts w:ascii="Times New Roman" w:hAnsi="Times New Roman" w:eastAsia="Times New Roman" w:cs="Times New Roman"/>
          <w:b w:val="0"/>
          <w:bCs w:val="0"/>
          <w:i w:val="0"/>
          <w:iCs w:val="0"/>
          <w:caps w:val="0"/>
          <w:smallCaps w:val="0"/>
          <w:noProof w:val="0"/>
          <w:color w:val="1F4E79"/>
          <w:sz w:val="24"/>
          <w:szCs w:val="24"/>
          <w:lang w:val="en-US"/>
        </w:rPr>
      </w:pPr>
      <w:r w:rsidRPr="757A7ED9" w:rsidR="64640EF4">
        <w:rPr>
          <w:rFonts w:ascii="Times New Roman" w:hAnsi="Times New Roman" w:eastAsia="Times New Roman" w:cs="Times New Roman"/>
          <w:b w:val="1"/>
          <w:bCs w:val="1"/>
          <w:i w:val="0"/>
          <w:iCs w:val="0"/>
          <w:caps w:val="0"/>
          <w:smallCaps w:val="0"/>
          <w:noProof w:val="0"/>
          <w:color w:val="1F4E79"/>
          <w:sz w:val="24"/>
          <w:szCs w:val="24"/>
          <w:lang w:val="en-US"/>
        </w:rPr>
        <w:t>Conceptual flow</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470"/>
        <w:gridCol w:w="1470"/>
        <w:gridCol w:w="1470"/>
        <w:gridCol w:w="1470"/>
        <w:gridCol w:w="1470"/>
        <w:gridCol w:w="1470"/>
        <w:gridCol w:w="1470"/>
      </w:tblGrid>
      <w:tr w:rsidR="757A7ED9" w:rsidTr="757A7ED9" w14:paraId="22F88BC8">
        <w:trPr>
          <w:trHeight w:val="300"/>
        </w:trPr>
        <w:tc>
          <w:tcPr>
            <w:tcW w:w="1470" w:type="dxa"/>
            <w:tcMar>
              <w:left w:w="105" w:type="dxa"/>
              <w:right w:w="105" w:type="dxa"/>
            </w:tcMar>
            <w:vAlign w:val="center"/>
          </w:tcPr>
          <w:p w:rsidR="757A7ED9" w:rsidP="757A7ED9" w:rsidRDefault="757A7ED9" w14:paraId="45CD2D53" w14:textId="4DECD829">
            <w:pPr>
              <w:spacing w:after="60" w:line="240" w:lineRule="auto"/>
              <w:jc w:val="center"/>
              <w:rPr>
                <w:rFonts w:ascii="Times New Roman" w:hAnsi="Times New Roman" w:eastAsia="Times New Roman" w:cs="Times New Roman"/>
                <w:b w:val="0"/>
                <w:bCs w:val="0"/>
                <w:i w:val="0"/>
                <w:iCs w:val="0"/>
                <w:sz w:val="24"/>
                <w:szCs w:val="24"/>
              </w:rPr>
            </w:pPr>
            <w:r w:rsidRPr="757A7ED9" w:rsidR="757A7ED9">
              <w:rPr>
                <w:rFonts w:ascii="Times New Roman" w:hAnsi="Times New Roman" w:eastAsia="Times New Roman" w:cs="Times New Roman"/>
                <w:b w:val="1"/>
                <w:bCs w:val="1"/>
                <w:i w:val="0"/>
                <w:iCs w:val="0"/>
                <w:sz w:val="24"/>
                <w:szCs w:val="24"/>
                <w:lang w:val="en-US"/>
              </w:rPr>
              <w:t>Excited compound nucleus</w:t>
            </w:r>
          </w:p>
        </w:tc>
        <w:tc>
          <w:tcPr>
            <w:tcW w:w="1470" w:type="dxa"/>
            <w:tcMar>
              <w:left w:w="105" w:type="dxa"/>
              <w:right w:w="105" w:type="dxa"/>
            </w:tcMar>
            <w:vAlign w:val="center"/>
          </w:tcPr>
          <w:p w:rsidR="757A7ED9" w:rsidP="757A7ED9" w:rsidRDefault="757A7ED9" w14:paraId="27258894" w14:textId="083BB045">
            <w:pPr>
              <w:spacing w:after="60" w:line="240" w:lineRule="auto"/>
              <w:jc w:val="center"/>
              <w:rPr>
                <w:rFonts w:ascii="Times New Roman" w:hAnsi="Times New Roman" w:eastAsia="Times New Roman" w:cs="Times New Roman"/>
                <w:b w:val="0"/>
                <w:bCs w:val="0"/>
                <w:i w:val="0"/>
                <w:iCs w:val="0"/>
                <w:sz w:val="24"/>
                <w:szCs w:val="24"/>
              </w:rPr>
            </w:pPr>
            <w:r w:rsidRPr="757A7ED9" w:rsidR="757A7ED9">
              <w:rPr>
                <w:rFonts w:ascii="Times New Roman" w:hAnsi="Times New Roman" w:eastAsia="Times New Roman" w:cs="Times New Roman"/>
                <w:b w:val="0"/>
                <w:bCs w:val="0"/>
                <w:i w:val="0"/>
                <w:iCs w:val="0"/>
                <w:sz w:val="24"/>
                <w:szCs w:val="24"/>
                <w:lang w:val="en-US"/>
              </w:rPr>
              <w:t>→</w:t>
            </w:r>
          </w:p>
        </w:tc>
        <w:tc>
          <w:tcPr>
            <w:tcW w:w="1470" w:type="dxa"/>
            <w:tcMar>
              <w:left w:w="105" w:type="dxa"/>
              <w:right w:w="105" w:type="dxa"/>
            </w:tcMar>
            <w:vAlign w:val="center"/>
          </w:tcPr>
          <w:p w:rsidR="757A7ED9" w:rsidP="757A7ED9" w:rsidRDefault="757A7ED9" w14:paraId="7D1F5942" w14:textId="7C96F318">
            <w:pPr>
              <w:spacing w:after="60" w:line="240" w:lineRule="auto"/>
              <w:jc w:val="center"/>
              <w:rPr>
                <w:rFonts w:ascii="Times New Roman" w:hAnsi="Times New Roman" w:eastAsia="Times New Roman" w:cs="Times New Roman"/>
                <w:b w:val="0"/>
                <w:bCs w:val="0"/>
                <w:i w:val="0"/>
                <w:iCs w:val="0"/>
                <w:sz w:val="24"/>
                <w:szCs w:val="24"/>
              </w:rPr>
            </w:pPr>
            <w:r w:rsidRPr="757A7ED9" w:rsidR="757A7ED9">
              <w:rPr>
                <w:rFonts w:ascii="Times New Roman" w:hAnsi="Times New Roman" w:eastAsia="Times New Roman" w:cs="Times New Roman"/>
                <w:b w:val="1"/>
                <w:bCs w:val="1"/>
                <w:i w:val="0"/>
                <w:iCs w:val="0"/>
                <w:sz w:val="24"/>
                <w:szCs w:val="24"/>
                <w:lang w:val="en-US"/>
              </w:rPr>
              <w:t>Rare IMF channel</w:t>
            </w:r>
          </w:p>
        </w:tc>
        <w:tc>
          <w:tcPr>
            <w:tcW w:w="1470" w:type="dxa"/>
            <w:tcMar>
              <w:left w:w="105" w:type="dxa"/>
              <w:right w:w="105" w:type="dxa"/>
            </w:tcMar>
            <w:vAlign w:val="center"/>
          </w:tcPr>
          <w:p w:rsidR="757A7ED9" w:rsidP="757A7ED9" w:rsidRDefault="757A7ED9" w14:paraId="5D061242" w14:textId="5B1DFED8">
            <w:pPr>
              <w:spacing w:after="60" w:line="240" w:lineRule="auto"/>
              <w:jc w:val="center"/>
              <w:rPr>
                <w:rFonts w:ascii="Times New Roman" w:hAnsi="Times New Roman" w:eastAsia="Times New Roman" w:cs="Times New Roman"/>
                <w:b w:val="0"/>
                <w:bCs w:val="0"/>
                <w:i w:val="0"/>
                <w:iCs w:val="0"/>
                <w:sz w:val="24"/>
                <w:szCs w:val="24"/>
              </w:rPr>
            </w:pPr>
            <w:r w:rsidRPr="757A7ED9" w:rsidR="757A7ED9">
              <w:rPr>
                <w:rFonts w:ascii="Times New Roman" w:hAnsi="Times New Roman" w:eastAsia="Times New Roman" w:cs="Times New Roman"/>
                <w:b w:val="0"/>
                <w:bCs w:val="0"/>
                <w:i w:val="0"/>
                <w:iCs w:val="0"/>
                <w:sz w:val="24"/>
                <w:szCs w:val="24"/>
                <w:lang w:val="en-US"/>
              </w:rPr>
              <w:t>→</w:t>
            </w:r>
          </w:p>
        </w:tc>
        <w:tc>
          <w:tcPr>
            <w:tcW w:w="1470" w:type="dxa"/>
            <w:tcMar>
              <w:left w:w="105" w:type="dxa"/>
              <w:right w:w="105" w:type="dxa"/>
            </w:tcMar>
            <w:vAlign w:val="center"/>
          </w:tcPr>
          <w:p w:rsidR="757A7ED9" w:rsidP="757A7ED9" w:rsidRDefault="757A7ED9" w14:paraId="5EECFD79" w14:textId="70DBC21A">
            <w:pPr>
              <w:spacing w:after="60" w:line="240" w:lineRule="auto"/>
              <w:jc w:val="center"/>
              <w:rPr>
                <w:rFonts w:ascii="Times New Roman" w:hAnsi="Times New Roman" w:eastAsia="Times New Roman" w:cs="Times New Roman"/>
                <w:b w:val="0"/>
                <w:bCs w:val="0"/>
                <w:i w:val="0"/>
                <w:iCs w:val="0"/>
                <w:sz w:val="24"/>
                <w:szCs w:val="24"/>
              </w:rPr>
            </w:pPr>
            <w:r w:rsidRPr="757A7ED9" w:rsidR="757A7ED9">
              <w:rPr>
                <w:rFonts w:ascii="Times New Roman" w:hAnsi="Times New Roman" w:eastAsia="Times New Roman" w:cs="Times New Roman"/>
                <w:b w:val="1"/>
                <w:bCs w:val="1"/>
                <w:i w:val="0"/>
                <w:iCs w:val="0"/>
                <w:sz w:val="24"/>
                <w:szCs w:val="24"/>
                <w:lang w:val="en-US"/>
              </w:rPr>
              <w:t>Enhanced sampling</w:t>
            </w:r>
          </w:p>
        </w:tc>
        <w:tc>
          <w:tcPr>
            <w:tcW w:w="1470" w:type="dxa"/>
            <w:tcMar>
              <w:left w:w="105" w:type="dxa"/>
              <w:right w:w="105" w:type="dxa"/>
            </w:tcMar>
            <w:vAlign w:val="center"/>
          </w:tcPr>
          <w:p w:rsidR="757A7ED9" w:rsidP="757A7ED9" w:rsidRDefault="757A7ED9" w14:paraId="6A7C795A" w14:textId="31DD4514">
            <w:pPr>
              <w:spacing w:after="60" w:line="240" w:lineRule="auto"/>
              <w:jc w:val="center"/>
              <w:rPr>
                <w:rFonts w:ascii="Times New Roman" w:hAnsi="Times New Roman" w:eastAsia="Times New Roman" w:cs="Times New Roman"/>
                <w:b w:val="0"/>
                <w:bCs w:val="0"/>
                <w:i w:val="0"/>
                <w:iCs w:val="0"/>
                <w:sz w:val="24"/>
                <w:szCs w:val="24"/>
              </w:rPr>
            </w:pPr>
            <w:r w:rsidRPr="757A7ED9" w:rsidR="757A7ED9">
              <w:rPr>
                <w:rFonts w:ascii="Times New Roman" w:hAnsi="Times New Roman" w:eastAsia="Times New Roman" w:cs="Times New Roman"/>
                <w:b w:val="0"/>
                <w:bCs w:val="0"/>
                <w:i w:val="0"/>
                <w:iCs w:val="0"/>
                <w:sz w:val="24"/>
                <w:szCs w:val="24"/>
                <w:lang w:val="en-US"/>
              </w:rPr>
              <w:t>→</w:t>
            </w:r>
          </w:p>
        </w:tc>
        <w:tc>
          <w:tcPr>
            <w:tcW w:w="1470" w:type="dxa"/>
            <w:tcMar>
              <w:left w:w="105" w:type="dxa"/>
              <w:right w:w="105" w:type="dxa"/>
            </w:tcMar>
            <w:vAlign w:val="center"/>
          </w:tcPr>
          <w:p w:rsidR="757A7ED9" w:rsidP="757A7ED9" w:rsidRDefault="757A7ED9" w14:paraId="49E01BCF" w14:textId="2F000B4E">
            <w:pPr>
              <w:spacing w:after="60" w:line="240" w:lineRule="auto"/>
              <w:jc w:val="center"/>
              <w:rPr>
                <w:rFonts w:ascii="Times New Roman" w:hAnsi="Times New Roman" w:eastAsia="Times New Roman" w:cs="Times New Roman"/>
                <w:b w:val="0"/>
                <w:bCs w:val="0"/>
                <w:i w:val="0"/>
                <w:iCs w:val="0"/>
                <w:sz w:val="24"/>
                <w:szCs w:val="24"/>
              </w:rPr>
            </w:pPr>
            <w:r w:rsidRPr="757A7ED9" w:rsidR="757A7ED9">
              <w:rPr>
                <w:rFonts w:ascii="Times New Roman" w:hAnsi="Times New Roman" w:eastAsia="Times New Roman" w:cs="Times New Roman"/>
                <w:b w:val="1"/>
                <w:bCs w:val="1"/>
                <w:i w:val="0"/>
                <w:iCs w:val="0"/>
                <w:sz w:val="24"/>
                <w:szCs w:val="24"/>
                <w:lang w:val="en-US"/>
              </w:rPr>
              <w:t>Weighted physical result</w:t>
            </w:r>
          </w:p>
        </w:tc>
      </w:tr>
    </w:tbl>
    <w:p w:rsidR="757A7ED9" w:rsidP="757A7ED9" w:rsidRDefault="757A7ED9" w14:paraId="0560EC7E" w14:textId="466650A6">
      <w:pPr>
        <w:bidi w:val="0"/>
        <w:spacing w:before="60" w:after="6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640EF4" w:rsidP="757A7ED9" w:rsidRDefault="64640EF4" w14:paraId="432732F8" w14:textId="3A3E17AF">
      <w:pPr>
        <w:bidi w:val="0"/>
        <w:spacing w:before="60" w:after="6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program, enhanced IMF sampling is switched </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immediately</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before each decay cascade in both the compound-nucleus and fusion calculations. After the decay, GEMINI returns an event weight. The program uses that weight when calculating the IMF probability, cross section, isotope yield, kinetic-energy </w:t>
      </w:r>
      <w:bookmarkStart w:name="_Int_R0D2lLpt" w:id="610999464"/>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spectrum</w:t>
      </w:r>
      <w:bookmarkEnd w:id="610999464"/>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angular distribution. It also records the </w:t>
      </w:r>
      <w:bookmarkStart w:name="_Int_AbdUQots" w:id="1231410359"/>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fragment</w:t>
      </w:r>
      <w:bookmarkEnd w:id="1231410359"/>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energy, </w:t>
      </w:r>
      <w:r w:rsidRPr="757A7ED9" w:rsidR="63DAA4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angle,</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velocity for each IMF product.</w:t>
      </w:r>
    </w:p>
    <w:p w:rsidR="757A7ED9" w:rsidP="757A7ED9" w:rsidRDefault="757A7ED9" w14:paraId="5450D6E9" w14:textId="3DA25B04">
      <w:pPr>
        <w:bidi w:val="0"/>
        <w:spacing w:after="40" w:line="240" w:lineRule="auto"/>
        <w:ind w:firstLin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64640EF4" w:rsidP="757A7ED9" w:rsidRDefault="64640EF4" w14:paraId="728F9506" w14:textId="35171846">
      <w:pPr>
        <w:bidi w:val="0"/>
        <w:spacing w:after="40"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57A7ED9" w:rsidR="64640EF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In summary, enhanced IMF mode does not intentionally change the predicted physical decay. </w:t>
      </w:r>
      <w:r w:rsidRPr="757A7ED9" w:rsidR="64640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is a computing method that produces more rare IMF examples and then corrects their contribution with statistical weights. This gives smoother, more useful IMF results with far fewer simulated cascades, while preserving the original physical probability and cross section.</w:t>
      </w:r>
    </w:p>
    <w:p w:rsidR="757A7ED9" w:rsidP="757A7ED9" w:rsidRDefault="757A7ED9" w14:paraId="383C0A46" w14:textId="7D9A33C0">
      <w:pPr>
        <w:spacing w:after="100"/>
        <w:rPr>
          <w:rFonts w:ascii="Times New Roman" w:hAnsi="Times New Roman" w:eastAsia="Times New Roman" w:cs="Times New Roman"/>
          <w:color w:val="000000" w:themeColor="text1" w:themeTint="FF" w:themeShade="FF"/>
          <w:sz w:val="24"/>
          <w:szCs w:val="24"/>
        </w:rPr>
      </w:pPr>
    </w:p>
    <w:sectPr w:rsidRPr="00A917C1" w:rsidR="0001133E" w:rsidSect="00034616">
      <w:footerReference w:type="default" r:id="rId8"/>
      <w:pgSz w:w="12240" w:h="15840" w:orient="portrait"/>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0F3C" w:rsidRDefault="005A0F3C" w14:paraId="5C99588F" w14:textId="77777777">
      <w:pPr>
        <w:spacing w:after="0" w:line="240" w:lineRule="auto"/>
      </w:pPr>
      <w:r>
        <w:separator/>
      </w:r>
    </w:p>
  </w:endnote>
  <w:endnote w:type="continuationSeparator" w:id="0">
    <w:p w:rsidR="005A0F3C" w:rsidRDefault="005A0F3C" w14:paraId="2010F3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133E" w:rsidRDefault="00000000" w14:paraId="2978FAA4" w14:textId="77777777">
    <w:pPr>
      <w:pStyle w:val="Footer"/>
      <w:jc w:val="center"/>
    </w:pPr>
    <w:r>
      <w:t>GEMINI/GEMINI++ R&amp;D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0F3C" w:rsidRDefault="005A0F3C" w14:paraId="1BDF818F" w14:textId="77777777">
      <w:pPr>
        <w:spacing w:after="0" w:line="240" w:lineRule="auto"/>
      </w:pPr>
      <w:r>
        <w:separator/>
      </w:r>
    </w:p>
  </w:footnote>
  <w:footnote w:type="continuationSeparator" w:id="0">
    <w:p w:rsidR="005A0F3C" w:rsidRDefault="005A0F3C" w14:paraId="2E80C679"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OE9fxQltL4pch3" int2:id="xG1ISmFU">
      <int2:state int2:type="spell" int2:value="Rejected"/>
    </int2:textHash>
    <int2:textHash int2:hashCode="DmxGZU6aGE0Sl3" int2:id="7nGlgwal">
      <int2:state int2:type="spell" int2:value="Rejected"/>
    </int2:textHash>
    <int2:textHash int2:hashCode="0UjMd5rLsd61/L" int2:id="cELEBG9O">
      <int2:state int2:type="spell" int2:value="Rejected"/>
    </int2:textHash>
    <int2:textHash int2:hashCode="J+e7IHvn+/Djwx" int2:id="VwxGBtlr">
      <int2:state int2:type="spell" int2:value="Rejected"/>
    </int2:textHash>
    <int2:textHash int2:hashCode="yrjjtehv7GUINk" int2:id="EN9NEZlT">
      <int2:state int2:type="spell" int2:value="Rejected"/>
    </int2:textHash>
    <int2:textHash int2:hashCode="h9avk51IRK4fgt" int2:id="JWhmXubk">
      <int2:state int2:type="spell" int2:value="Rejected"/>
    </int2:textHash>
    <int2:textHash int2:hashCode="rsjYex0RfRT1e9" int2:id="oyuljXPI">
      <int2:state int2:type="spell" int2:value="Rejected"/>
    </int2:textHash>
    <int2:textHash int2:hashCode="CuJcQgKCVLpZ3+" int2:id="LEq8W48Y">
      <int2:state int2:type="spell" int2:value="Rejected"/>
    </int2:textHash>
    <int2:textHash int2:hashCode="GgBXj+KJRBxF6i" int2:id="1clyVXux">
      <int2:state int2:type="spell" int2:value="Rejected"/>
    </int2:textHash>
    <int2:textHash int2:hashCode="dCHq9InjWDiijQ" int2:id="pm2xo1I7">
      <int2:state int2:type="spell" int2:value="Rejected"/>
    </int2:textHash>
    <int2:textHash int2:hashCode="64fOURW1We5Yuf" int2:id="LJK3epwQ">
      <int2:state int2:type="spell" int2:value="Rejected"/>
    </int2:textHash>
    <int2:textHash int2:hashCode="IdFNwjAS7REWNA" int2:id="6mZQUI0C">
      <int2:state int2:type="spell" int2:value="Rejected"/>
    </int2:textHash>
    <int2:textHash int2:hashCode="bC7AM+21veHfWU" int2:id="mDC4VCCK">
      <int2:state int2:type="spell" int2:value="Rejected"/>
    </int2:textHash>
    <int2:textHash int2:hashCode="UJQ1UCx4m63STi" int2:id="xstBHFKR">
      <int2:state int2:type="spell" int2:value="Rejected"/>
    </int2:textHash>
    <int2:textHash int2:hashCode="MRnf9WtIab2vpl" int2:id="m6NzwPZq">
      <int2:state int2:type="spell" int2:value="Rejected"/>
    </int2:textHash>
    <int2:textHash int2:hashCode="kJPqH7Ls/XNChm" int2:id="rfzBmIFE">
      <int2:state int2:type="spell" int2:value="Rejected"/>
    </int2:textHash>
    <int2:textHash int2:hashCode="pG7zKaqh4Gp127" int2:id="bA2XUr3F">
      <int2:state int2:type="spell" int2:value="Rejected"/>
    </int2:textHash>
    <int2:textHash int2:hashCode="MQLE/19OwBS5vK" int2:id="iylawFwh">
      <int2:state int2:type="spell" int2:value="Rejected"/>
    </int2:textHash>
    <int2:textHash int2:hashCode="UZjqYZrvdsOaz8" int2:id="Y0qNxro2">
      <int2:state int2:type="spell" int2:value="Rejected"/>
    </int2:textHash>
    <int2:textHash int2:hashCode="BC3EUS+j05HFFw" int2:id="7fjbdZtk">
      <int2:state int2:type="spell" int2:value="Rejected"/>
    </int2:textHash>
    <int2:bookmark int2:bookmarkName="_Int_rfWV6vaW" int2:invalidationBookmarkName="" int2:hashCode="KMXx6lO5nSK+40" int2:id="uMxvbmjR">
      <int2:state int2:type="style" int2:value="Rejected"/>
    </int2:bookmark>
    <int2:bookmark int2:bookmarkName="_Int_7SQByGID" int2:invalidationBookmarkName="" int2:hashCode="fSrUFCPZrjs6yq" int2:id="D6oH7HZy">
      <int2:state int2:type="style" int2:value="Rejected"/>
    </int2:bookmark>
    <int2:bookmark int2:bookmarkName="_Int_HrYs4NdJ" int2:invalidationBookmarkName="" int2:hashCode="TRdk8xIhrM0WlL" int2:id="YBnW8ADX">
      <int2:state int2:type="style" int2:value="Rejected"/>
    </int2:bookmark>
    <int2:bookmark int2:bookmarkName="_Int_Ygcxbkrn" int2:invalidationBookmarkName="" int2:hashCode="VWngYSIUp8f8J3" int2:id="dBi2GUYh">
      <int2:state int2:type="style" int2:value="Rejected"/>
    </int2:bookmark>
    <int2:bookmark int2:bookmarkName="_Int_AbdUQots" int2:invalidationBookmarkName="" int2:hashCode="UXLPe5fhAXH6HT" int2:id="R7yRhGTr">
      <int2:state int2:type="gram" int2:value="Rejected"/>
    </int2:bookmark>
    <int2:bookmark int2:bookmarkName="_Int_6J53IlTt" int2:invalidationBookmarkName="" int2:hashCode="qZzxX/WwpSEBpi" int2:id="S28NEKc5">
      <int2:state int2:type="gram" int2:value="Rejected"/>
    </int2:bookmark>
    <int2:bookmark int2:bookmarkName="_Int_R0D2lLpt" int2:invalidationBookmarkName="" int2:hashCode="zVVsAh1kvhs4OL" int2:id="Pm9qjoBr">
      <int2:state int2:type="gram" int2:value="Rejected"/>
    </int2:bookmark>
    <int2:bookmark int2:bookmarkName="_Int_cJi31911" int2:invalidationBookmarkName="" int2:hashCode="Ds+XUaf4GSmmsO" int2:id="hytMXn6c">
      <int2:state int2:type="gram" int2:value="Rejected"/>
    </int2:bookmark>
    <int2:bookmark int2:bookmarkName="_Int_eRd314Gq" int2:invalidationBookmarkName="" int2:hashCode="VdbRjMUASQ5zvH" int2:id="F4oCjJPG">
      <int2:state int2:type="gram" int2:value="Rejected"/>
    </int2:bookmark>
    <int2:bookmark int2:bookmarkName="_Int_7bpeU0mp" int2:invalidationBookmarkName="" int2:hashCode="UT/TEIlAjmi9Ey" int2:id="WCP2XPkR">
      <int2:state int2:type="gram" int2:value="Rejected"/>
    </int2:bookmark>
    <int2:bookmark int2:bookmarkName="_Int_6p677zZ3" int2:invalidationBookmarkName="" int2:hashCode="6byQ7bE46PTI/7" int2:id="elt5AVb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962613610">
    <w:abstractNumId w:val="8"/>
  </w:num>
  <w:num w:numId="2" w16cid:durableId="1088313573">
    <w:abstractNumId w:val="6"/>
  </w:num>
  <w:num w:numId="3" w16cid:durableId="1316690973">
    <w:abstractNumId w:val="5"/>
  </w:num>
  <w:num w:numId="4" w16cid:durableId="6251294">
    <w:abstractNumId w:val="4"/>
  </w:num>
  <w:num w:numId="5" w16cid:durableId="864682215">
    <w:abstractNumId w:val="7"/>
  </w:num>
  <w:num w:numId="6" w16cid:durableId="1968077378">
    <w:abstractNumId w:val="3"/>
  </w:num>
  <w:num w:numId="7" w16cid:durableId="335108561">
    <w:abstractNumId w:val="2"/>
  </w:num>
  <w:num w:numId="8" w16cid:durableId="830951622">
    <w:abstractNumId w:val="1"/>
  </w:num>
  <w:num w:numId="9" w16cid:durableId="58747015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6"/>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1133E"/>
    <w:rsid w:val="00034616"/>
    <w:rsid w:val="0006063C"/>
    <w:rsid w:val="0015074B"/>
    <w:rsid w:val="0029639D"/>
    <w:rsid w:val="00326F90"/>
    <w:rsid w:val="005A0F3C"/>
    <w:rsid w:val="0069199E"/>
    <w:rsid w:val="00A917C1"/>
    <w:rsid w:val="00AA1D8D"/>
    <w:rsid w:val="00B47730"/>
    <w:rsid w:val="00C565CD"/>
    <w:rsid w:val="00CB0664"/>
    <w:rsid w:val="00FC693F"/>
    <w:rsid w:val="0D9E95FE"/>
    <w:rsid w:val="126338DD"/>
    <w:rsid w:val="14310C6C"/>
    <w:rsid w:val="16E56698"/>
    <w:rsid w:val="17FF87D0"/>
    <w:rsid w:val="1868A570"/>
    <w:rsid w:val="196E2142"/>
    <w:rsid w:val="1ABCB8FC"/>
    <w:rsid w:val="21820A0A"/>
    <w:rsid w:val="21820A0A"/>
    <w:rsid w:val="2E21CCB6"/>
    <w:rsid w:val="327E51A0"/>
    <w:rsid w:val="38A23845"/>
    <w:rsid w:val="39EF0C04"/>
    <w:rsid w:val="3A1B6680"/>
    <w:rsid w:val="4007196E"/>
    <w:rsid w:val="49593199"/>
    <w:rsid w:val="4DD70542"/>
    <w:rsid w:val="53CF5B9F"/>
    <w:rsid w:val="53CF5B9F"/>
    <w:rsid w:val="5DE3357D"/>
    <w:rsid w:val="63DAA4CA"/>
    <w:rsid w:val="64640EF4"/>
    <w:rsid w:val="757A7E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B2910"/>
  <w14:defaultImageDpi w14:val="300"/>
  <w15:docId w15:val="{E3AEA1D8-424C-8A49-A5D3-474D90F35E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microsoft.com/office/2020/10/relationships/intelligence" Target="intelligence2.xml" Id="R2d354a5a89ad4f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Ray, Arjun</lastModifiedBy>
  <revision>3</revision>
  <dcterms:created xsi:type="dcterms:W3CDTF">2026-07-07T17:12:00.0000000Z</dcterms:created>
  <dcterms:modified xsi:type="dcterms:W3CDTF">2026-07-23T17:48:37.7892172Z</dcterms:modified>
  <category/>
</coreProperties>
</file>