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GLOBAL Numerical-Accuracy Benchmark</w:t>
        <w:br/>
        <w:t>Summary and Recommended Follow-up Checks</w:t>
      </w:r>
    </w:p>
    <w:p>
      <w:pPr>
        <w:jc w:val="center"/>
      </w:pPr>
      <w:r>
        <w:rPr>
          <w:i/>
          <w:sz w:val="20"/>
        </w:rPr>
        <w:t>Masahiro Yoshimoto benchmark of GLOBAL modifications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Recommendation: </w:t>
            </w:r>
            <w:r>
              <w:t>The two proposed changes are numerically well motivated and the benchmark supports merging them into the official GLOBAL code, provided that one short convergence test is added before final approval.</w:t>
            </w:r>
          </w:p>
        </w:tc>
      </w:tr>
    </w:tbl>
    <w:p>
      <w:pPr>
        <w:pStyle w:val="Heading1"/>
      </w:pPr>
      <w:r>
        <w:t>1. Proposed modifications</w:t>
      </w:r>
    </w:p>
    <w:p>
      <w:r>
        <w:rPr>
          <w:b/>
        </w:rPr>
        <w:t>Masahiro tested two independent numerical changes in GLOBAL:</w:t>
      </w:r>
    </w:p>
    <w:p>
      <w:pPr>
        <w:pStyle w:val="ListBullet"/>
        <w:spacing w:after="60"/>
      </w:pPr>
      <w:r>
        <w:t>EDIFF refinement: change /200 to /2000. This makes the energy interval used before recalculating charge-changing cross sections about 10 times finer.</w:t>
      </w:r>
    </w:p>
    <w:p>
      <w:pPr>
        <w:pStyle w:val="ListBullet"/>
        <w:spacing w:after="60"/>
      </w:pPr>
      <w:r>
        <w:t>Integration-step refinement: change coef_TXA from {1,10,100,1000,10000,100000} to {1,1,10,100,1000,10000}. This delays the rapid growth of the integration step by one decade.</w:t>
      </w:r>
    </w:p>
    <w:p>
      <w:pPr>
        <w:pStyle w:val="ListBullet"/>
        <w:spacing w:after="60"/>
      </w:pPr>
      <w:r>
        <w:t>Combined case: both changes applied simultaneously.</w:t>
      </w:r>
    </w:p>
    <w:p>
      <w:r>
        <w:rPr>
          <w:b/>
        </w:rPr>
        <w:t xml:space="preserve">Interpretation. </w:t>
      </w:r>
      <w:r>
        <w:t>The two changes address different numerical approximations. EDIFF controls how frequently energy-dependent cross sections are refreshed, while coef_TXA controls the thickness/integration step sequence. Therefore it is reasonable to test and, if validated, keep both changes.</w:t>
      </w:r>
    </w:p>
    <w:p>
      <w:pPr>
        <w:pStyle w:val="Heading1"/>
      </w:pPr>
      <w:r>
        <w:t>2. Accuracy and smoothness</w:t>
      </w:r>
    </w:p>
    <w:p>
      <w:r>
        <w:t xml:space="preserve">The benchmark uses 238U86+ at 345 MeV/u and calculates charge-state fractions as a function of Be and Ta target thickness. </w:t>
      </w:r>
      <w:r>
        <w:rPr>
          <w:b/>
        </w:rPr>
        <w:t>The modified calculations produce visibly smoother charge-state curves.</w:t>
      </w:r>
      <w:r>
        <w:t xml:space="preserve"> This is consistent with reducing numerical discretization: the old EDIFF setting can hold cross sections fixed over a relatively large energy-loss interval, while the old coef_TXA sequence can increase the integration step quickly.</w:t>
      </w:r>
    </w:p>
    <w:p>
      <w:r>
        <w:t>For EDIFF specifically, at 345 MeV/u the /200 setting corresponds to an energy-change scale of roughly 11 MeV/u, whereas /2000 reduces it to about 1.1 MeV/u. This provides a plausible physical/numerical explanation for the smoother thickness dependence.</w:t>
      </w:r>
    </w:p>
    <w:p>
      <w:pPr>
        <w:pStyle w:val="Heading1"/>
      </w:pPr>
      <w:r>
        <w:t>3. Calculation-time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</w:rPr>
              <w:t>Be, 400 runs (s)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</w:rPr>
              <w:t>Ta, 400 runs (s)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Original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20.304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16.638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Baseline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EDIFF only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17.237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15.068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Faster in both tests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coef_TXA only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15.420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17.691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 faster; Ta ~6% slower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Both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14.765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18.256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 ~27% faster; Ta ~10% slower</w:t>
            </w:r>
          </w:p>
        </w:tc>
      </w:tr>
    </w:tbl>
    <w:p>
      <w:r>
        <w:rPr>
          <w:b/>
        </w:rPr>
        <w:t xml:space="preserve">Conclusion on speed. </w:t>
      </w:r>
      <w:r>
        <w:t>There is no evidence of a large systematic timing penalty. In the current benchmark the combined modification is substantially faster for Be and about 10% slower for Ta. Because the individual runs are short, the safest wording is: “No significant systematic increase in calculation time was observed in these tests.”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2333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be_tim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333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2289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ta_tim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28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Additional checks requested before merging</w:t>
      </w:r>
    </w:p>
    <w:p>
      <w:r>
        <w:rPr>
          <w:b/>
        </w:rPr>
        <w:t xml:space="preserve">Required: numerical-convergence check. </w:t>
      </w:r>
      <w:r>
        <w:t>This is the most important remaining test. For one representative Be case and one Ta case, compare the proposed settings against a still finer calculation. For example:</w:t>
      </w:r>
    </w:p>
    <w:p>
      <w:pPr>
        <w:pStyle w:val="ListBullet"/>
        <w:spacing w:after="60"/>
      </w:pPr>
      <w:r>
        <w:t>Proposed: EDIFF /2000 + new coef_TXA.</w:t>
      </w:r>
    </w:p>
    <w:p>
      <w:pPr>
        <w:pStyle w:val="ListBullet"/>
        <w:spacing w:after="60"/>
      </w:pPr>
      <w:r>
        <w:t>Finer EDIFF: /20000 + new coef_TXA.</w:t>
      </w:r>
    </w:p>
    <w:p>
      <w:pPr>
        <w:pStyle w:val="ListBullet"/>
        <w:spacing w:after="60"/>
      </w:pPr>
      <w:r>
        <w:t>Finer integration: /2000 + one additional decade of step refinement.</w:t>
      </w:r>
    </w:p>
    <w:p>
      <w:r>
        <w:t>If the finer calculations lie essentially on top of the proposed result, this demonstrates numerical convergence rather than simply producing a visually smoother curve.</w:t>
      </w:r>
    </w:p>
    <w:p>
      <w:r>
        <w:rPr>
          <w:b/>
        </w:rPr>
        <w:t>Recommended quantitative checks:</w:t>
      </w:r>
    </w:p>
    <w:p>
      <w:pPr>
        <w:pStyle w:val="ListBullet"/>
        <w:spacing w:after="60"/>
      </w:pPr>
      <w:r>
        <w:t>Report the maximum absolute change in charge-state fraction between the proposed and finer calculations, preferably for every populated charge state.</w:t>
      </w:r>
    </w:p>
    <w:p>
      <w:pPr>
        <w:pStyle w:val="ListBullet"/>
        <w:spacing w:after="60"/>
      </w:pPr>
      <w:r>
        <w:t>Check charge-fraction normalization (sum close to 1) over the full thickness range and confirm that no new negative-population artifacts appear.</w:t>
      </w:r>
    </w:p>
    <w:p>
      <w:pPr>
        <w:pStyle w:val="ListBullet"/>
        <w:spacing w:after="60"/>
      </w:pPr>
      <w:r>
        <w:t>If easy to instrument, count how often GLOBAL reduces DELT and restarts after a negative fraction. This may explain why the finer algorithm is faster for Be.</w:t>
      </w:r>
    </w:p>
    <w:p>
      <w:pPr>
        <w:pStyle w:val="ListBullet"/>
        <w:spacing w:after="60"/>
      </w:pPr>
      <w:r>
        <w:t>Repeat the timing benchmark several times with the execution order rotated, then report the mean and spread. This will separate real performance differences from cache/system-load effects.</w:t>
      </w:r>
    </w:p>
    <w:p>
      <w:r>
        <w:rPr>
          <w:b/>
        </w:rPr>
        <w:t>Optional broader validation:</w:t>
      </w:r>
    </w:p>
    <w:p>
      <w:pPr>
        <w:pStyle w:val="ListBullet"/>
        <w:spacing w:after="60"/>
      </w:pPr>
      <w:r>
        <w:t>Add one lower projectile energy relevant to typical separator calculations (for example around 200 MeV/u).</w:t>
      </w:r>
    </w:p>
    <w:p>
      <w:pPr>
        <w:pStyle w:val="ListBullet"/>
        <w:spacing w:after="60"/>
      </w:pPr>
      <w:r>
        <w:t>If convenient, test one additional projectile/target combination to make sure the improvement is not specific to 238U at 345 MeV/u.</w:t>
      </w:r>
    </w:p>
    <w:p>
      <w:pPr>
        <w:pStyle w:val="Heading1"/>
      </w:pPr>
      <w:r>
        <w:t>5. Suggested merge decision</w:t>
      </w:r>
    </w:p>
    <w:p>
      <w:r>
        <w:rPr>
          <w:b/>
        </w:rPr>
        <w:t xml:space="preserve">My assessment: </w:t>
      </w:r>
      <w:r>
        <w:t>the modifications should probably be accepted into the official GLOBAL GitHub version rather than kept as a private fork. The motivation is sound, the curves become smoother, and the present benchmark does not show a problematic calculation-time cost. A short convergence test would provide the strongest justification for making the new settings the default for all users.</w:t>
      </w:r>
    </w:p>
    <w:p>
      <w:r>
        <w:rPr>
          <w:b/>
        </w:rPr>
        <w:t xml:space="preserve">Source benchmark: </w:t>
      </w:r>
      <w:r>
        <w:t>https://gist.github.com/yoshimotomasahir/34305a6e0bb60a410b40aa78925e90ef</w:t>
      </w:r>
    </w:p>
    <w:sectPr w:rsidR="00FC693F" w:rsidRPr="0006063C" w:rsidSect="00034616">
      <w:footerReference w:type="default" r:id="rId11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GLOBAL benchmark review -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Numerical-Accuracy Benchmark Summary</dc:title>
  <dc:subject>Review of Masahiro Yoshimoto GLOBAL benchmark modifications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