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PACE4 development and physics benchmark update</w:t>
      </w:r>
    </w:p>
    <w:p>
      <w:r>
        <w:t>26 October 2026 | Release 4.37.0 | Prepared for Taras</w:t>
      </w:r>
    </w:p>
    <w:p>
      <w:r>
        <w:t>Today's work corrected random spin sampling, input save and load fidelity, validation, resource cleanup, and startup stylesheet loading. The application and project versions are now 4.37.0. Software regression checks passed, but the ASTRA comparison with the FORTRAN reference revealed major residual cross-section discrepancies. Initial spin distributions agree statistically in the tested cases; full physics validation remains incomplete.</w:t>
      </w:r>
    </w:p>
    <w:p>
      <w:pPr>
        <w:pStyle w:val="Heading2"/>
      </w:pPr>
      <w:r>
        <w:t>Random sampling and reproducibility</w:t>
      </w:r>
    </w:p>
    <w:p>
      <w:r>
        <w:t>Initial spin selection now consumes one random draw per cascade, taken outside the cumulative-distribution search. Energy-loss sampling keeps its own draw. The legacy masked Park-Miller generator is retained. Default seeding uses Qt system entropy and full-date milliseconds. PACE4_SEED accepts integers from 1 to 2147483646, and the external seed is recorded in HTML and RTF output for repeatable runs.</w:t>
      </w:r>
    </w:p>
    <w:p>
      <w:pPr>
        <w:pStyle w:val="Heading2"/>
      </w:pPr>
      <w:r>
        <w:t>Input save and load corrections</w:t>
      </w:r>
    </w:p>
    <w:p>
      <w:r>
        <w:t>Compound LMINN is read from its sixth field rather than duplicating AJNUC. Floating parameters are saved with 17 significant digits and explicit separators. Loaded excitation energy and barrier settings are refreshed in the widgets before execution. Imported spin weights are checked for valid counts, finite nonnegative values, and usable totals; missing legacy tail weights are cleared and the complete spin range is saved.</w:t>
      </w:r>
    </w:p>
    <w:p>
      <w:pPr>
        <w:pStyle w:val="Heading2"/>
      </w:pPr>
      <w:r>
        <w:t>Validation and cleanup</w:t>
      </w:r>
    </w:p>
    <w:p>
      <w:r>
        <w:t>Checks now bound compound spin, editor paging, cascade counts, minimum partial waves, and mode flags. Batch step counts and ranges are validated before computing energies; batches stop on failure or cancellation. Cascade storage uses vectors. Scoped cleanup releases output streams and HTML objects on early exits, while stream errors and composition failure codes propagate to silent-mode status.</w:t>
      </w:r>
    </w:p>
    <w:p>
      <w:pPr>
        <w:pStyle w:val="Heading2"/>
      </w:pPr>
      <w:r>
        <w:t>Version and startup maintenance</w:t>
      </w:r>
    </w:p>
    <w:p>
      <w:r>
        <w:t>ftype.h was renamed to g_PACE/pace_version.h, with includes and the Qt project updated. The header records the detailed changes. The stylesheet resource now has the alias :/styles/mainstyle.qss and is read only after QFile::open succeeds. Project and Windows executable versions were synchronized to 4.37.0. The verified MSVC executable was installed after PACE4 was closed. The test/ folder was added to .gitignore; regression source files remain under tests/.</w:t>
      </w:r>
    </w:p>
    <w:p>
      <w:r>
        <w:br w:type="page"/>
      </w:r>
    </w:p>
    <w:p>
      <w:pPr>
        <w:pStyle w:val="Heading1"/>
      </w:pPr>
      <w:r>
        <w:t>Software verification and benchmark design</w:t>
      </w:r>
    </w:p>
    <w:p>
      <w:pPr>
        <w:pStyle w:val="Heading2"/>
      </w:pPr>
      <w:r>
        <w:t>Completed software checks</w:t>
      </w:r>
    </w:p>
    <w:tbl>
      <w:tblPr>
        <w:tblW w:type="auto" w:w="0"/>
        <w:tblLayout w:type="fixed"/>
        <w:tblLook w:firstColumn="1" w:firstRow="1" w:lastColumn="0" w:lastRow="0" w:noHBand="0" w:noVBand="1" w:val="04A0"/>
      </w:tblPr>
      <w:tblGrid>
        <w:gridCol w:w="6624"/>
        <w:gridCol w:w="3456"/>
      </w:tblGrid>
      <w:tr>
        <w:trPr>
          <w:cantSplit/>
          <w:tblHeader/>
        </w:trPr>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pPr>
            <w:r>
              <w:rPr>
                <w:b/>
                <w:sz w:val="19"/>
              </w:rPr>
              <w:t>Check</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Result</w:t>
            </w:r>
          </w:p>
        </w:tc>
      </w:tr>
      <w:tr>
        <w:trPr>
          <w:cantSplit/>
        </w:trPr>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MSVC and MinGW application builds</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Passed</w:t>
            </w:r>
          </w:p>
        </w:tc>
      </w:tr>
      <w:tr>
        <w:trPr>
          <w:cantSplit/>
        </w:trPr>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Generator sequence and single draw spin sampling</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Passed</w:t>
            </w:r>
          </w:p>
        </w:tc>
      </w:tr>
      <w:tr>
        <w:trPr>
          <w:cantSplit/>
        </w:trPr>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Qt save load reload integration for modes 1 2 3 5</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Passed</w:t>
            </w:r>
          </w:p>
        </w:tc>
      </w:tr>
      <w:tr>
        <w:trPr>
          <w:cantSplit/>
        </w:trPr>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Silent mode regression suite with nine cases</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Passed</w:t>
            </w:r>
          </w:p>
        </w:tc>
      </w:tr>
      <w:tr>
        <w:trPr>
          <w:cantSplit/>
        </w:trPr>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Invalid input batch failure and cancellation cleanup</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Passed</w:t>
            </w:r>
          </w:p>
        </w:tc>
      </w:tr>
      <w:tr>
        <w:trPr>
          <w:cantSplit/>
        </w:trPr>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Stylesheet startup smoke check</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No device not open error</w:t>
            </w:r>
          </w:p>
        </w:tc>
      </w:tr>
      <w:tr>
        <w:trPr>
          <w:cantSplit/>
        </w:trPr>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MSVC versus MinGW residue counts in 15 runs</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Identical</w:t>
            </w:r>
          </w:p>
        </w:tc>
      </w:tr>
    </w:tbl>
    <w:p>
      <w:pPr>
        <w:spacing w:after="60" w:before="0" w:line="40" w:lineRule="exact"/>
      </w:pPr>
      <w:r>
        <w:rPr>
          <w:sz w:val="4"/>
        </w:rPr>
      </w:r>
    </w:p>
    <w:p>
      <w:r>
        <w:t>The generator regression also sampled 300,000 equal-weight draws, yielding 99,907, 100,047, and 100,046 events. These software checks verify implementation behavior and repeatability; they do not establish agreement with the historical physics model.</w:t>
      </w:r>
    </w:p>
    <w:p>
      <w:pPr>
        <w:pStyle w:val="Heading2"/>
      </w:pPr>
      <w:r>
        <w:t>Physics sample and common settings</w:t>
      </w:r>
    </w:p>
    <w:p>
      <w:r>
        <w:t>ASTRA compared Ni-60 (Z = 28, N = 32) at excitation energy 30.125 MeV and zero recoil. Each case used five replicas of 5,000 events, giving 25,000 events per case per program and 75,000 events per primary program. The 5,000-event runs stay below the original FORTRAN event-capacity limit.</w:t>
      </w:r>
    </w:p>
    <w:tbl>
      <w:tblPr>
        <w:tblW w:type="auto" w:w="0"/>
        <w:tblLayout w:type="fixed"/>
        <w:tblLook w:firstColumn="1" w:firstRow="1" w:lastColumn="0" w:lastRow="0" w:noHBand="0" w:noVBand="1" w:val="04A0"/>
      </w:tblPr>
      <w:tblGrid>
        <w:gridCol w:w="6192"/>
        <w:gridCol w:w="1008"/>
        <w:gridCol w:w="2880"/>
      </w:tblGrid>
      <w:tr>
        <w:trPr>
          <w:cantSplit/>
          <w:tblHeader/>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pPr>
            <w:r>
              <w:rPr>
                <w:b/>
                <w:sz w:val="19"/>
              </w:rPr>
              <w:t>Initial spin input</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Mode</w:t>
            </w:r>
          </w:p>
        </w:tc>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Input normalization</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Fixed J = 10</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2</w:t>
            </w:r>
          </w:p>
        </w:tc>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100 mb</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Equal weights at J = 0, 10, 20</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3</w:t>
            </w:r>
          </w:p>
        </w:tc>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100 mb</w:t>
            </w:r>
          </w:p>
        </w:tc>
      </w:tr>
      <w:tr>
        <w:trPr>
          <w:cantSplit/>
        </w:trPr>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Weights proportional to 2J + 1 for J = 0 to 20</w:t>
            </w:r>
          </w:p>
        </w:tc>
        <w:tc>
          <w:tcPr>
            <w:tcW w:type="dxa" w:w="100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5</w:t>
            </w:r>
          </w:p>
        </w:tc>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441 mb</w:t>
            </w:r>
          </w:p>
        </w:tc>
      </w:tr>
    </w:tbl>
    <w:p>
      <w:pPr>
        <w:spacing w:after="60" w:before="0" w:line="40" w:lineRule="exact"/>
      </w:pPr>
      <w:r>
        <w:rPr>
          <w:sz w:val="4"/>
        </w:rPr>
      </w:r>
    </w:p>
    <w:p>
      <w:r>
        <w:t>Common settings were FYRST = 0, BARFAC = -1, ARATIO = 1, FACLA = 10, NOSHL = 1, and IDIST = 0. BARFAC = -1 gives the matched barrier scale; zero has different semantics in the two programs. NOSHL = 1 matches the liquid-drop mass treatment and avoids a modern mass-table mismatch.</w:t>
      </w:r>
    </w:p>
    <w:p>
      <w:r>
        <w:t>PACE4 seeds were 436, 104729, 130363, 155921, and 196613. Primary FORTRAN runs used each seed plus 1000003 to provide separate streams. The installed MSVC executable was compared with an instrumented MinGW build; all 15 final-residue histograms agreed exactly.</w:t>
      </w:r>
    </w:p>
    <w:p>
      <w:r>
        <w:t>Cross sections here are conditional compound-decay yields multiplied by supplied normalization. They are not independent predictions of entrance-channel fusion cross sections. The FORTRAN mode 3 normalization was 99.9999847 mb because of fixed-format input and REAL*4 rounding.</w:t>
      </w:r>
    </w:p>
    <w:p>
      <w:r>
        <w:br w:type="page"/>
      </w:r>
    </w:p>
    <w:p>
      <w:pPr>
        <w:pStyle w:val="Heading1"/>
      </w:pPr>
      <w:r>
        <w:t>Spin distributions and residual cross sections</w:t>
      </w:r>
    </w:p>
    <w:p>
      <w:pPr>
        <w:pStyle w:val="Heading2"/>
      </w:pPr>
      <w:r>
        <w:t>Initial spin sampling agrees in these cases</w:t>
      </w:r>
    </w:p>
    <w:p>
      <w:r>
        <w:t>Every fixed-spin event had J = 10 in both programs. The equal-weight and generated distributions were consistent with their requested shapes and with each other. These tests concern initial spin sampling, not every spin observable throughout the decay chain.</w:t>
      </w:r>
    </w:p>
    <w:tbl>
      <w:tblPr>
        <w:tblW w:type="auto" w:w="0"/>
        <w:tblLayout w:type="fixed"/>
        <w:tblLook w:firstColumn="1" w:firstRow="1" w:lastColumn="0" w:lastRow="0" w:noHBand="0" w:noVBand="1" w:val="04A0"/>
      </w:tblPr>
      <w:tblGrid>
        <w:gridCol w:w="4464"/>
        <w:gridCol w:w="1872"/>
        <w:gridCol w:w="1872"/>
        <w:gridCol w:w="1872"/>
      </w:tblGrid>
      <w:tr>
        <w:trPr>
          <w:cantSplit/>
          <w:tblHeader/>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pPr>
            <w:r>
              <w:rPr>
                <w:b/>
                <w:sz w:val="19"/>
              </w:rPr>
              <w:t>Distribution</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PACE4 fit p</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FORTRAN fit p</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Comparison p</w:t>
            </w:r>
          </w:p>
        </w:tc>
      </w:tr>
      <w:tr>
        <w:trPr>
          <w:cantSplit/>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Equal J = 0, 10, 20</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0.9632</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0.0951</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0.3442</w:t>
            </w:r>
          </w:p>
        </w:tc>
      </w:tr>
      <w:tr>
        <w:trPr>
          <w:cantSplit/>
        </w:trPr>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2J + 1 for J = 0 to 20</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0.4942</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0.6483</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0.4725</w:t>
            </w:r>
          </w:p>
        </w:tc>
      </w:tr>
    </w:tbl>
    <w:p>
      <w:pPr>
        <w:spacing w:after="60" w:before="0" w:line="40" w:lineRule="exact"/>
      </w:pPr>
      <w:r>
        <w:rPr>
          <w:sz w:val="4"/>
        </w:rPr>
      </w:r>
    </w:p>
    <w:p>
      <w:pPr>
        <w:pStyle w:val="Heading2"/>
      </w:pPr>
      <w:r>
        <w:t>Fixed spin residual cross sections disagree</w:t>
      </w:r>
    </w:p>
    <w:p>
      <w:r>
        <w:t>For J = 10 and 100 mb normalization, PACE4 produced only Ni-59. The reference produced several charged-particle residues. The table gives estimates and 95 percent Wilson intervals in mb; zero observed events do not imply exactly zero underlying probability.</w:t>
      </w:r>
    </w:p>
    <w:tbl>
      <w:tblPr>
        <w:tblW w:type="auto" w:w="0"/>
        <w:tblLayout w:type="fixed"/>
        <w:tblLook w:firstColumn="1" w:firstRow="1" w:lastColumn="0" w:lastRow="0" w:noHBand="0" w:noVBand="1" w:val="04A0"/>
      </w:tblPr>
      <w:tblGrid>
        <w:gridCol w:w="1872"/>
        <w:gridCol w:w="4104"/>
        <w:gridCol w:w="4104"/>
      </w:tblGrid>
      <w:tr>
        <w:trPr>
          <w:cantSplit/>
          <w:tblHeader/>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pPr>
            <w:r>
              <w:rPr>
                <w:b/>
                <w:sz w:val="19"/>
              </w:rPr>
              <w:t>Residue</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PACE4 4.37</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FORTRAN reference</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59Ni</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100.000</w:t>
              <w:br/>
              <w:t>[99.985, 100.000]</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41.048</w:t>
              <w:br/>
              <w:t>[40.440, 41.659]</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59Co</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0.000</w:t>
              <w:br/>
              <w:t>[0.000, 0.015]</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22.928</w:t>
              <w:br/>
              <w:t>[22.411, 23.453]</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58Co</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0.000</w:t>
              <w:br/>
              <w:t>[0.000, 0.015]</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13.956</w:t>
              <w:br/>
              <w:t>[13.532, 14.391]</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56Fe</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0.000</w:t>
              <w:br/>
              <w:t>[0.000, 0.015]</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20.304</w:t>
              <w:br/>
              <w:t>[19.810, 20.807]</w:t>
            </w:r>
          </w:p>
        </w:tc>
      </w:tr>
    </w:tbl>
    <w:p>
      <w:pPr>
        <w:spacing w:after="60" w:before="0" w:line="40" w:lineRule="exact"/>
      </w:pPr>
      <w:r>
        <w:rPr>
          <w:sz w:val="4"/>
        </w:rPr>
      </w:r>
    </w:p>
    <w:p>
      <w:r>
        <w:t>The residual distributions also disagree in the other two cases. Their comparison chi-square values are approximately 20,894, 21,673, and 17,829 for fixed, equal, and generated spin inputs, respectively. The differences are far beyond Monte Carlo uncertainty.</w:t>
      </w:r>
    </w:p>
    <w:p>
      <w:r>
        <w:drawing>
          <wp:inline xmlns:a="http://schemas.openxmlformats.org/drawingml/2006/main" xmlns:pic="http://schemas.openxmlformats.org/drawingml/2006/picture">
            <wp:extent cx="6400800" cy="2005584"/>
            <wp:docPr id="1" name="Picture 1"/>
            <wp:cNvGraphicFramePr>
              <a:graphicFrameLocks noChangeAspect="1"/>
            </wp:cNvGraphicFramePr>
            <a:graphic>
              <a:graphicData uri="http://schemas.openxmlformats.org/drawingml/2006/picture">
                <pic:pic>
                  <pic:nvPicPr>
                    <pic:cNvPr id="0" name="comparison.png"/>
                    <pic:cNvPicPr/>
                  </pic:nvPicPr>
                  <pic:blipFill>
                    <a:blip r:embed="rId10"/>
                    <a:stretch>
                      <a:fillRect/>
                    </a:stretch>
                  </pic:blipFill>
                  <pic:spPr>
                    <a:xfrm>
                      <a:off x="0" y="0"/>
                      <a:ext cx="6400800" cy="2005584"/>
                    </a:xfrm>
                    <a:prstGeom prst="rect"/>
                  </pic:spPr>
                </pic:pic>
              </a:graphicData>
            </a:graphic>
          </wp:inline>
        </w:drawing>
      </w:r>
    </w:p>
    <w:p>
      <w:r>
        <w:t>Spin histograms and fixed-spin residue yields. The diagnostic series removes one early return in an isolated build; it is not the released application.</w:t>
      </w:r>
    </w:p>
    <w:p>
      <w:r>
        <w:br w:type="page"/>
      </w:r>
    </w:p>
    <w:p>
      <w:pPr>
        <w:pStyle w:val="Heading1"/>
      </w:pPr>
      <w:r>
        <w:t>Confirmed diagnostic findings and remaining work</w:t>
      </w:r>
    </w:p>
    <w:p>
      <w:pPr>
        <w:pStyle w:val="Heading2"/>
      </w:pPr>
      <w:r>
        <w:t>An early return suppresses charged particle channels</w:t>
      </w:r>
    </w:p>
    <w:p>
      <w:r>
        <w:t>In g_PACE/PACE3Levden.cpp near line 654, the active condition “_IPROB == IPROBO &amp;&amp; ICUT == 0 &amp;&amp; TL[1] &gt;= 1.E-10” returns from the decay scan. The corresponding return is explicitly commented out in g_PACE/fortran/PACE3.for near line 1538. First-decay traces show that the PACE4 scan retained neutron entries but no proton or alpha entries.</w:t>
      </w:r>
    </w:p>
    <w:tbl>
      <w:tblPr>
        <w:tblW w:type="auto" w:w="0"/>
        <w:tblLayout w:type="fixed"/>
        <w:tblLook w:firstColumn="1" w:firstRow="1" w:lastColumn="0" w:lastRow="0" w:noHBand="0" w:noVBand="1" w:val="04A0"/>
      </w:tblPr>
      <w:tblGrid>
        <w:gridCol w:w="4608"/>
        <w:gridCol w:w="2736"/>
        <w:gridCol w:w="2736"/>
      </w:tblGrid>
      <w:tr>
        <w:trPr>
          <w:cantSplit/>
          <w:tblHeader/>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pPr>
            <w:r>
              <w:rPr>
                <w:b/>
                <w:sz w:val="19"/>
              </w:rPr>
              <w:t>First decay quantity</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PACE4</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40" w:before="40"/>
              <w:jc w:val="center"/>
            </w:pPr>
            <w:r>
              <w:rPr>
                <w:b/>
                <w:sz w:val="19"/>
              </w:rPr>
              <w:t>FORTRAN</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Total probability entries</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67</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487</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Neutron raw weight</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2.01639e-34</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2.02565e-34</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Proton raw weight</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0</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1.47666e-34</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pPr>
            <w:r>
              <w:rPr>
                <w:b w:val="0"/>
                <w:sz w:val="19"/>
              </w:rPr>
              <w:t>Alpha raw weight</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0</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jc w:val="center"/>
            </w:pPr>
            <w:r>
              <w:rPr>
                <w:b w:val="0"/>
                <w:sz w:val="19"/>
              </w:rPr>
              <w:t>1.02779e-34</w:t>
            </w:r>
          </w:p>
        </w:tc>
      </w:tr>
      <w:tr>
        <w:trPr>
          <w:cantSplit/>
        </w:trPr>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sz w:val="19"/>
              </w:rPr>
              <w:t>Gamma raw weight</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3.08353e-43</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sz w:val="19"/>
              </w:rPr>
              <w:t>3.08354e-43</w:t>
            </w:r>
          </w:p>
        </w:tc>
      </w:tr>
    </w:tbl>
    <w:p>
      <w:pPr>
        <w:spacing w:after="60" w:before="0" w:line="40" w:lineRule="exact"/>
      </w:pPr>
      <w:r>
        <w:rPr>
          <w:sz w:val="4"/>
        </w:rPr>
      </w:r>
    </w:p>
    <w:p>
      <w:r>
        <w:t>The FORTRAN particle weights correspond to approximately 44.72 percent neutron, 32.60 percent proton, and 22.69 percent alpha emission at this first step. Printed optical potentials and gamma strengths matched; first separation energies differed by less than 0.0001 MeV.</w:t>
      </w:r>
    </w:p>
    <w:p>
      <w:pPr>
        <w:pStyle w:val="Heading2"/>
      </w:pPr>
      <w:r>
        <w:t>Isolated correction restores channels but not full agreement</w:t>
      </w:r>
    </w:p>
    <w:p>
      <w:r>
        <w:t>Removing only the early return in a diagnostic copy restores proton and alpha channels. For fixed J = 10, diagnostic cross sections were 36.156 mb for Ni-59, 17.956 mb for Co-59, 20.948 mb for Co-58, and 22.124 mb for Fe-56. These remain different from the reference. The early return is therefore a confirmed contributor, not a complete explanation.</w:t>
      </w:r>
    </w:p>
    <w:p>
      <w:pPr>
        <w:pStyle w:val="Heading2"/>
      </w:pPr>
      <w:r>
        <w:t>Other code differences require targeted investigation</w:t>
      </w:r>
    </w:p>
    <w:p>
      <w:r>
        <w:t>The nonzero FYRST branch in g_PACE/PACE3compound.cpp near line 163 exits the rotational-energy initialization loop with break after one entry. The FORTRAN loop fills all spin entries. This issue does not affect the present FYRST = 0 benchmark but needs a dedicated nonzero-FYRST test. Probability-cutoff handling also differs between the implementations; its contribution to the remaining discrepancy has not been quantified.</w:t>
      </w:r>
    </w:p>
    <w:p>
      <w:pPr>
        <w:pStyle w:val="Heading2"/>
      </w:pPr>
      <w:r>
        <w:t>Recommended next sequence</w:t>
      </w:r>
    </w:p>
    <w:p>
      <w:r>
        <w:t>First apply and test the decay-scan correction with channel-level traces. Then resolve the remaining probability-cutoff and subsequent-decay differences before claiming agreement of final residues. Add nonzero-FYRST regression cases, and broaden the validation to other nuclei, energies, spin inputs, and model options. Retain reproducible seeds and compare full residue distributions with statistical uncertainty.</w:t>
      </w:r>
    </w:p>
    <w:p>
      <w:r>
        <w:t>No production physics changes were made during the resumed benchmark phase. The diagnostic correction remains isolated, and the original FORTRAN source is unchanged.</w:t>
      </w:r>
    </w:p>
    <w:p>
      <w:r>
        <w:br w:type="page"/>
      </w:r>
    </w:p>
    <w:p>
      <w:pPr>
        <w:pStyle w:val="Heading1"/>
      </w:pPr>
      <w:r>
        <w:t>FORTRAN reference and reproducibility record</w:t>
      </w:r>
    </w:p>
    <w:p>
      <w:pPr>
        <w:pStyle w:val="Heading2"/>
      </w:pPr>
      <w:r>
        <w:t>Reference adaptations</w:t>
      </w:r>
    </w:p>
    <w:p>
      <w:r>
        <w:t>The comparison uses a documented GNU port of PACE3.for, not an untouched historical VAX executable. Twelve VAX OPTIONS /G_FLOATING directives were commented out. Compilation used -std=legacy, -fdec, -fallow-argument-mismatch, -ffixed-line-length-72, -fno-automatic, -O0, and -fcheck=bounds. Static-local behavior is necessary to preserve historical transmission tables across calls.</w:t>
      </w:r>
    </w:p>
    <w:p>
      <w:r>
        <w:t>A five-call probe of GNU RAN(seed) returned the same value, 0.041216135, without updating the seed. The isolated reference therefore uses a portable masked Park-Miller recurrence with REAL*4 output. It retains the original 30 warm-up draws and energy-before-spin draw order. Seed input and event snapshots were added without consuming extra random draws, and output files use STATUS=REPLACE.</w:t>
      </w:r>
    </w:p>
    <w:p>
      <w:r>
        <w:t>The bounds-checked reference guards the FISROT IY = 11 boundary, where the code otherwise reads nonexistent X2B column 12. The neighbor has zero mathematical weight because DY = 0. All 15 checked-and-repaired runs produced exactly the same initial-spin histograms and final-residue counts as unchecked-and-unrepaired runs with the same seeds. Original COMMON-block size warnings remain a portability limitation.</w:t>
      </w:r>
    </w:p>
    <w:p>
      <w:r>
        <w:t>Default FORTRAN REAL*4 and explicit REAL*8 declarations were preserved; C++ uses mostly double precision. PACE2A.FOR was not used because its VMS timing calls and external mass-data workflow require separate portability work. No claim of identical historical random trajectories or general nuclear-model validation is made.</w:t>
      </w:r>
    </w:p>
    <w:p>
      <w:pPr>
        <w:pStyle w:val="Heading2"/>
      </w:pPr>
      <w:r>
        <w:t>Saved evidence</w:t>
      </w:r>
    </w:p>
    <w:p>
      <w:r>
        <w:t>Project root: C:\Users\taras\Documents\Codex\PACE4</w:t>
      </w:r>
    </w:p>
    <w:p>
      <w:r>
        <w:t>Benchmark root relative to the project: _build_validation/physics_4_37/</w:t>
      </w:r>
    </w:p>
    <w:p>
      <w:r>
        <w:t>report/report.html - detailed comparison and figures</w:t>
      </w:r>
    </w:p>
    <w:p>
      <w:r>
        <w:t>report/cross_sections.csv and report/summary.json - numerical results and intervals</w:t>
      </w:r>
    </w:p>
    <w:p>
      <w:r>
        <w:t>fortran_provenance.json - source hash, compiler flags, adaptations, and limitations</w:t>
      </w:r>
    </w:p>
    <w:p>
      <w:r>
        <w:t>cpp_msvc/results.json and cpp_mingw/results.json - application results</w:t>
      </w:r>
    </w:p>
    <w:p>
      <w:r>
        <w:t>fortran_independent/results.json - primary reference results</w:t>
      </w:r>
    </w:p>
    <w:p>
      <w:r>
        <w:t>cpp_no_early_stop/results.json - isolated diagnostic results</w:t>
      </w:r>
    </w:p>
    <w:p>
      <w:r>
        <w:t>Reusable drivers: tests/physics_benchmark.py, tests/fortran_benchmark.py, and tests/compare_physics_benchmarks.py. Original inputs, event output, and reports are retained in per-case and per-seed folders. Driver syntax checks and git diff --check passed.</w:t>
      </w:r>
    </w:p>
    <w:p>
      <w:r>
        <w:t>Original PACE3.for SHA256:</w:t>
      </w:r>
    </w:p>
    <w:p>
      <w:r>
        <w:rPr>
          <w:sz w:val="16"/>
        </w:rPr>
        <w:t>c4149ec9ff1a6ebbd94ff0d1199fb925a3720636e97e1a0de2a19c8f77aeec2f</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PACE4 update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PACE4 development and physics benchmark update</dc:title>
  <dc:subject>26 October 2026 updates and PACE4 4.37 comparison with FORTRAN</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