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29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Truth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</w:tr>
      <w:tr>
        <w:trPr>
          <w:trHeight w:val="473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opinion_leaders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Unfavourable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15.0%% (n=207)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17.1%% (n=235)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67.9%% (n=935)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1377 (56.9%)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value: &lt;0.0001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(Pearson's Chi-squared test)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Favourable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22.8%% (n=237)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19.8%% (n=206)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57.4%% (n=598)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1041 (43.1%)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2026-03-02T11:48:13Z</dcterms:modified>
  <cp:category/>
</cp:coreProperties>
</file>