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Override PartName="/word/media/rId25.png" ContentType="image/png"/>
  <Override PartName="/word/media/rId26.png" ContentType="image/png"/>
  <Override PartName="/word/media/rId34.png" ContentType="image/png"/>
  <Override PartName="/word/media/rId36.png" ContentType="image/png"/>
  <Override PartName="/word/media/rId32.png" ContentType="image/png"/>
  <Override PartName="/word/media/rId35.png" ContentType="image/png"/>
  <Override PartName="/word/media/rId3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Waterloo</w:t>
      </w:r>
      <w:r>
        <w:t xml:space="preserve"> </w:t>
      </w:r>
      <w:r>
        <w:t xml:space="preserve">Region</w:t>
      </w:r>
      <w:r>
        <w:t xml:space="preserve"> </w:t>
      </w:r>
      <w:r>
        <w:t xml:space="preserve">Vote</w:t>
      </w:r>
      <w:r>
        <w:t xml:space="preserve"> </w:t>
      </w:r>
      <w:r>
        <w:t xml:space="preserve">Intention,</w:t>
      </w:r>
      <w:r>
        <w:t xml:space="preserve"> </w:t>
      </w:r>
      <w:r>
        <w:t xml:space="preserve">Spring</w:t>
      </w:r>
      <w:r>
        <w:t xml:space="preserve"> </w:t>
      </w:r>
      <w:r>
        <w:t xml:space="preserve">2021</w:t>
      </w:r>
    </w:p>
    <w:p>
      <w:pPr>
        <w:pStyle w:val="Subtitle"/>
      </w:pPr>
      <w:r>
        <w:t xml:space="preserve">DRAFT:</w:t>
      </w:r>
      <w:r>
        <w:t xml:space="preserve"> </w:t>
      </w:r>
      <w:r>
        <w:t xml:space="preserve">Not</w:t>
      </w:r>
      <w:r>
        <w:t xml:space="preserve"> </w:t>
      </w:r>
      <w:r>
        <w:t xml:space="preserve">for</w:t>
      </w:r>
      <w:r>
        <w:t xml:space="preserve"> </w:t>
      </w:r>
      <w:r>
        <w:t xml:space="preserve">circulation</w:t>
      </w:r>
      <w:r>
        <w:t xml:space="preserve"> </w:t>
      </w:r>
      <w:r>
        <w:t xml:space="preserve">or</w:t>
      </w:r>
      <w:r>
        <w:t xml:space="preserve"> </w:t>
      </w:r>
      <w:r>
        <w:t xml:space="preserve">attribution</w:t>
      </w:r>
    </w:p>
    <w:p>
      <w:pPr>
        <w:pStyle w:val="Author"/>
      </w:pPr>
      <w:r>
        <w:t xml:space="preserve">Simon</w:t>
      </w:r>
      <w:r>
        <w:t xml:space="preserve"> </w:t>
      </w:r>
      <w:r>
        <w:t xml:space="preserve">Kiss</w:t>
      </w:r>
      <w:r>
        <w:rPr>
          <w:rStyle w:val="FootnoteReference"/>
        </w:rPr>
        <w:footnoteReference w:id="20"/>
      </w:r>
    </w:p>
    <w:p>
      <w:pPr>
        <w:pStyle w:val="Author"/>
      </w:pPr>
      <w:r>
        <w:t xml:space="preserve">Andrea</w:t>
      </w:r>
      <w:r>
        <w:t xml:space="preserve"> </w:t>
      </w:r>
      <w:r>
        <w:t xml:space="preserve">Perrella</w:t>
      </w:r>
      <w:r>
        <w:rPr>
          <w:rStyle w:val="FootnoteReference"/>
        </w:rPr>
        <w:footnoteReference w:id="21"/>
      </w:r>
    </w:p>
    <w:p>
      <w:pPr>
        <w:pStyle w:val="Author"/>
      </w:pPr>
      <w:r>
        <w:t xml:space="preserve">Anthony</w:t>
      </w:r>
      <w:r>
        <w:t xml:space="preserve"> </w:t>
      </w:r>
      <w:r>
        <w:t xml:space="preserve">Piscitelli</w:t>
      </w:r>
      <w:r>
        <w:rPr>
          <w:rStyle w:val="FootnoteReference"/>
        </w:rPr>
        <w:footnoteReference w:id="22"/>
      </w:r>
    </w:p>
    <w:p>
      <w:pPr>
        <w:pStyle w:val="Date"/>
      </w:pPr>
      <w:r>
        <w:t xml:space="preserve">05/05/2021</w:t>
      </w:r>
    </w:p>
    <w:bookmarkStart w:id="23" w:name="headline-findings"/>
    <w:p>
      <w:pPr>
        <w:pStyle w:val="Heading1"/>
      </w:pPr>
      <w:r>
        <w:rPr>
          <w:rStyle w:val="SectionNumber"/>
        </w:rPr>
        <w:t xml:space="preserve">1</w:t>
      </w:r>
      <w:r>
        <w:tab/>
      </w:r>
      <w:r>
        <w:t xml:space="preserve">Headline Findings</w:t>
      </w:r>
    </w:p>
    <w:p>
      <w:pPr>
        <w:numPr>
          <w:ilvl w:val="0"/>
          <w:numId w:val="1001"/>
        </w:numPr>
      </w:pPr>
      <w:r>
        <w:t xml:space="preserve">Liberals lead in Waterloo Region in spring, federally and provincially. Federally,</w:t>
      </w:r>
      <w:r>
        <w:t xml:space="preserve"> </w:t>
      </w:r>
      <w:r>
        <w:rPr>
          <w:bCs/>
          <w:b/>
        </w:rPr>
        <w:t xml:space="preserve">28% of all respondents and 49% of all decided respondents</w:t>
      </w:r>
      <w:r>
        <w:t xml:space="preserve"> </w:t>
      </w:r>
      <w:r>
        <w:t xml:space="preserve">said they would vote Liberal. The latter number is an increase of 11 percentage points over the Liberals’ 2019 results in Waterloo Region.</w:t>
      </w:r>
    </w:p>
    <w:p>
      <w:pPr>
        <w:numPr>
          <w:ilvl w:val="0"/>
          <w:numId w:val="1001"/>
        </w:numPr>
      </w:pPr>
      <w:r>
        <w:t xml:space="preserve">Provincially, the Liberals lead, but the the gap was much smaller.</w:t>
      </w:r>
      <w:r>
        <w:t xml:space="preserve"> </w:t>
      </w:r>
      <w:r>
        <w:rPr>
          <w:bCs/>
          <w:b/>
        </w:rPr>
        <w:t xml:space="preserve">22% of all respondents said they would support the Liberals compared to 18%</w:t>
      </w:r>
      <w:r>
        <w:t xml:space="preserve"> </w:t>
      </w:r>
      <w:r>
        <w:t xml:space="preserve">for the PCs. This rose to 33% for decided voters for the Liberals and 29% for the PCs.</w:t>
      </w:r>
      <w:r>
        <w:t xml:space="preserve"> </w:t>
      </w:r>
      <w:r>
        <w:rPr>
          <w:bCs/>
          <w:b/>
        </w:rPr>
        <w:t xml:space="preserve">This gap is just within the study’s margin of error</w:t>
      </w:r>
    </w:p>
    <w:p>
      <w:pPr>
        <w:numPr>
          <w:ilvl w:val="0"/>
          <w:numId w:val="1001"/>
        </w:numPr>
      </w:pPr>
      <w:r>
        <w:t xml:space="preserve">Share of 2019 Liberal voters who approved of Justin Trudeau’s handling of the pandemic was</w:t>
      </w:r>
      <w:r>
        <w:t xml:space="preserve"> </w:t>
      </w:r>
      <w:r>
        <w:rPr>
          <w:bCs/>
          <w:b/>
        </w:rPr>
        <w:t xml:space="preserve">13 percentage points</w:t>
      </w:r>
      <w:r>
        <w:t xml:space="preserve"> </w:t>
      </w:r>
      <w:r>
        <w:t xml:space="preserve">higher than the share of 2018 PC voters who of Doug Ford's handling of the pandemic (73% versus 60%) (see Tables</w:t>
      </w:r>
      <w:r>
        <w:t xml:space="preserve"> </w:t>
      </w:r>
      <w:r>
        <w:t xml:space="preserve">3.2</w:t>
      </w:r>
      <w:r>
        <w:t xml:space="preserve"> </w:t>
      </w:r>
      <w:r>
        <w:t xml:space="preserve">and</w:t>
      </w:r>
      <w:r>
        <w:t xml:space="preserve"> </w:t>
      </w:r>
      <w:r>
        <w:t xml:space="preserve">4.2</w:t>
      </w:r>
      <w:r>
        <w:t xml:space="preserve">).</w:t>
      </w:r>
      <w:r>
        <w:t xml:space="preserve"> </w:t>
      </w:r>
      <w:r>
        <w:rPr>
          <w:bCs/>
          <w:b/>
        </w:rPr>
        <w:t xml:space="preserve">Trudeau had better evaluations from his most recent voters than Ford did.</w:t>
      </w:r>
    </w:p>
    <w:p>
      <w:pPr>
        <w:numPr>
          <w:ilvl w:val="0"/>
          <w:numId w:val="1001"/>
        </w:numPr>
      </w:pPr>
      <w:r>
        <w:t xml:space="preserve">Controlling for past federal and provincial votes,</w:t>
      </w:r>
      <w:r>
        <w:t xml:space="preserve"> </w:t>
      </w:r>
      <w:r>
        <w:rPr>
          <w:bCs/>
          <w:b/>
        </w:rPr>
        <w:t xml:space="preserve">approval of handling the pandemic</w:t>
      </w:r>
      <w:r>
        <w:t xml:space="preserve"> </w:t>
      </w:r>
      <w:r>
        <w:t xml:space="preserve">was a significant predictor of whether a voter would vote for both parties (see Tables</w:t>
      </w:r>
      <w:r>
        <w:t xml:space="preserve"> </w:t>
      </w:r>
      <w:r>
        <w:t xml:space="preserve">??</w:t>
      </w:r>
      <w:r>
        <w:t xml:space="preserve">,</w:t>
      </w:r>
      <w:r>
        <w:t xml:space="preserve"> </w:t>
      </w:r>
      <w:r>
        <w:t xml:space="preserve">??</w:t>
      </w:r>
      <w:r>
        <w:t xml:space="preserve">)</w:t>
      </w:r>
    </w:p>
    <w:p>
      <w:pPr>
        <w:numPr>
          <w:ilvl w:val="0"/>
          <w:numId w:val="1001"/>
        </w:numPr>
      </w:pPr>
      <w:r>
        <w:t xml:space="preserve">Conclusion: The Trudeau government’s handling of the pandemic helped its political standings and the Ford government’s handling of the pandemic hurt its chances in Waterloo Region.</w:t>
      </w:r>
    </w:p>
    <w:p>
      <w:pPr>
        <w:numPr>
          <w:ilvl w:val="0"/>
          <w:numId w:val="1001"/>
        </w:numPr>
      </w:pPr>
      <w:r>
        <w:t xml:space="preserve">Waterloo Region is an important bellwether set of ridings in Ontario. Table</w:t>
      </w:r>
      <w:r>
        <w:t xml:space="preserve"> </w:t>
      </w:r>
      <w:r>
        <w:t xml:space="preserve">6.1</w:t>
      </w:r>
      <w:r>
        <w:t xml:space="preserve"> </w:t>
      </w:r>
      <w:r>
        <w:t xml:space="preserve">and</w:t>
      </w:r>
      <w:r>
        <w:t xml:space="preserve"> </w:t>
      </w:r>
      <w:r>
        <w:t xml:space="preserve">6.2</w:t>
      </w:r>
      <w:r>
        <w:t xml:space="preserve"> </w:t>
      </w:r>
      <w:r>
        <w:t xml:space="preserve">show the number of ridings since 2003 in provincial and general elections that have returned members whose party formed the government.</w:t>
      </w:r>
    </w:p>
    <w:bookmarkEnd w:id="23"/>
    <w:bookmarkStart w:id="24" w:name="study-details"/>
    <w:p>
      <w:pPr>
        <w:pStyle w:val="Heading1"/>
      </w:pPr>
      <w:r>
        <w:rPr>
          <w:rStyle w:val="SectionNumber"/>
        </w:rPr>
        <w:t xml:space="preserve">2</w:t>
      </w:r>
      <w:r>
        <w:tab/>
      </w:r>
      <w:r>
        <w:t xml:space="preserve">Study details</w:t>
      </w:r>
    </w:p>
    <w:p>
      <w:pPr>
        <w:numPr>
          <w:ilvl w:val="0"/>
          <w:numId w:val="1002"/>
        </w:numPr>
        <w:pStyle w:val="Compact"/>
      </w:pPr>
      <w:r>
        <w:t xml:space="preserve">Survey of voters in Waterloo Region via cell, landline and web</w:t>
      </w:r>
    </w:p>
    <w:p>
      <w:pPr>
        <w:numPr>
          <w:ilvl w:val="0"/>
          <w:numId w:val="1002"/>
        </w:numPr>
        <w:pStyle w:val="Compact"/>
      </w:pPr>
      <w:r>
        <w:t xml:space="preserve">Conducted by the University of Waterloo Survey Research Center</w:t>
      </w:r>
    </w:p>
    <w:p>
      <w:pPr>
        <w:numPr>
          <w:ilvl w:val="0"/>
          <w:numId w:val="1002"/>
        </w:numPr>
        <w:pStyle w:val="Compact"/>
      </w:pPr>
      <w:r>
        <w:t xml:space="preserve">Sampled 502 residents`</w:t>
      </w:r>
    </w:p>
    <w:p>
      <w:pPr>
        <w:numPr>
          <w:ilvl w:val="0"/>
          <w:numId w:val="1002"/>
        </w:numPr>
        <w:pStyle w:val="Compact"/>
      </w:pPr>
      <w:r>
        <w:t xml:space="preserve">Margin of error associated with a survey this size is +/- 4 percentage points</w:t>
      </w:r>
    </w:p>
    <w:p>
      <w:pPr>
        <w:numPr>
          <w:ilvl w:val="0"/>
          <w:numId w:val="1002"/>
        </w:numPr>
        <w:pStyle w:val="Compact"/>
      </w:pPr>
      <w:r>
        <w:t xml:space="preserve">Survey overrepresented women (54% of the sample), over educated (46% of the sample with degrees, v. 25% in the population) and older people (30% and 20% were men and women over 65 in the sample, versus 17% and 19% of the population). Sample was very closely matched geographically.</w:t>
      </w:r>
    </w:p>
    <w:p>
      <w:pPr>
        <w:numPr>
          <w:ilvl w:val="0"/>
          <w:numId w:val="1002"/>
        </w:numPr>
        <w:pStyle w:val="Compact"/>
      </w:pPr>
      <w:r>
        <w:t xml:space="preserve">Weights have been calculated to ensure the sample is matched on sex, education and age.</w:t>
      </w:r>
    </w:p>
    <w:p>
      <w:pPr>
        <w:numPr>
          <w:ilvl w:val="0"/>
          <w:numId w:val="1002"/>
        </w:numPr>
        <w:pStyle w:val="Compact"/>
      </w:pPr>
      <w:r>
        <w:t xml:space="preserve">Survey dates were from March 10 2021 to April 22 2021. This covered the start of the third wave and the provincial government’s most recent stay-at home order of April 7th, 2021.</w:t>
      </w:r>
    </w:p>
    <w:p>
      <w:pPr>
        <w:numPr>
          <w:ilvl w:val="0"/>
          <w:numId w:val="1002"/>
        </w:numPr>
        <w:pStyle w:val="Compact"/>
      </w:pPr>
      <w:r>
        <w:t xml:space="preserve">More details available from the authors technical documentation</w:t>
      </w:r>
    </w:p>
    <w:bookmarkEnd w:id="24"/>
    <w:bookmarkStart w:id="31" w:name="federal-vote-intention-spring-2021"/>
    <w:p>
      <w:pPr>
        <w:pStyle w:val="Heading1"/>
      </w:pPr>
      <w:r>
        <w:rPr>
          <w:rStyle w:val="SectionNumber"/>
        </w:rPr>
        <w:t xml:space="preserve">3</w:t>
      </w:r>
      <w:r>
        <w:tab/>
      </w:r>
      <w:r>
        <w:t xml:space="preserve">Federal Vote Intention, Spring 2021</w:t>
      </w:r>
    </w:p>
    <w:p>
      <w:pPr>
        <w:pStyle w:val="FirstParagraph"/>
      </w:pPr>
      <w:r>
        <w:t xml:space="preserve">Figure</w:t>
      </w:r>
      <w:r>
        <w:t xml:space="preserve"> </w:t>
      </w:r>
      <w:r>
        <w:t xml:space="preserve">3.1</w:t>
      </w:r>
      <w:r>
        <w:t xml:space="preserve"> </w:t>
      </w:r>
      <w:r>
        <w:t xml:space="preserve">shows the weighted federal vote intention of all voters,</w:t>
      </w:r>
      <w:r>
        <w:t xml:space="preserve"> </w:t>
      </w:r>
      <w:r>
        <w:rPr>
          <w:iCs/>
          <w:i/>
        </w:rPr>
        <w:t xml:space="preserve">including undecided voters</w:t>
      </w:r>
      <w:r>
        <w:t xml:space="preserve">, in Waterloo Region, spring 2021.</w:t>
      </w:r>
    </w:p>
    <w:p>
      <w:pPr>
        <w:pStyle w:val="CaptionedFigure"/>
      </w:pPr>
      <w:r>
        <w:drawing>
          <wp:inline>
            <wp:extent cx="5334000" cy="1778000"/>
            <wp:effectExtent b="0" l="0" r="0" t="0"/>
            <wp:docPr descr="Figure 3.1: Distribution of Federal Vote Intention, Waterloo Region 2021" title="" id="1" name="Picture"/>
            <a:graphic>
              <a:graphicData uri="http://schemas.openxmlformats.org/drawingml/2006/picture">
                <pic:pic>
                  <pic:nvPicPr>
                    <pic:cNvPr descr="waterloo_region_vote_intentions_summary_lispop_files/figure-docx/federal-vote-intention-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3.1: Distribution of Federal Vote Intention, Waterloo Region 2021</w:t>
      </w:r>
    </w:p>
    <w:p>
      <w:pPr>
        <w:pStyle w:val="BodyText"/>
      </w:pPr>
      <w:r>
        <w:t xml:space="preserve">Figure</w:t>
      </w:r>
      <w:r>
        <w:t xml:space="preserve"> </w:t>
      </w:r>
      <w:r>
        <w:t xml:space="preserve">3.2</w:t>
      </w:r>
      <w:r>
        <w:t xml:space="preserve"> </w:t>
      </w:r>
      <w:r>
        <w:t xml:space="preserve">shows the weighted federal vote intention in Waterloo Region, spring 2021,</w:t>
      </w:r>
      <w:r>
        <w:t xml:space="preserve"> </w:t>
      </w:r>
      <w:r>
        <w:rPr>
          <w:iCs/>
          <w:i/>
        </w:rPr>
        <w:t xml:space="preserve">excluding</w:t>
      </w:r>
      <w:r>
        <w:t xml:space="preserve"> </w:t>
      </w:r>
      <w:r>
        <w:t xml:space="preserve">undecided voters.</w:t>
      </w:r>
    </w:p>
    <w:p>
      <w:pPr>
        <w:pStyle w:val="CaptionedFigure"/>
      </w:pPr>
      <w:r>
        <w:drawing>
          <wp:inline>
            <wp:extent cx="5334000" cy="1778000"/>
            <wp:effectExtent b="0" l="0" r="0" t="0"/>
            <wp:docPr descr="Figure 3.2: Distribution of Federal Vote Intention, Decided Voters Only, Waterloo Region 2021" title="" id="1" name="Picture"/>
            <a:graphic>
              <a:graphicData uri="http://schemas.openxmlformats.org/drawingml/2006/picture">
                <pic:pic>
                  <pic:nvPicPr>
                    <pic:cNvPr descr="waterloo_region_vote_intentions_summary_lispop_files/figure-docx/federal-vote-intention2-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3.2: Distribution of Federal Vote Intention, Decided Voters Only, Waterloo Region 2021</w:t>
      </w:r>
    </w:p>
    <w:p>
      <w:pPr>
        <w:pStyle w:val="CaptionedFigure"/>
      </w:pPr>
      <w:r>
        <w:drawing>
          <wp:inline>
            <wp:extent cx="5334000" cy="1778000"/>
            <wp:effectExtent b="0" l="0" r="0" t="0"/>
            <wp:docPr descr="Figure 3.3: Federal Vote Intention By 2019 Result" title="" id="1" name="Picture"/>
            <a:graphic>
              <a:graphicData uri="http://schemas.openxmlformats.org/drawingml/2006/picture">
                <pic:pic>
                  <pic:nvPicPr>
                    <pic:cNvPr descr="waterloo_region_vote_intentions_summary_lispop_files/figure-docx/federal-vote-2019-1.png" id="0"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3.3: Federal Vote Intention By 2019 Result</w:t>
      </w:r>
    </w:p>
    <w:p>
      <w:pPr>
        <w:pStyle w:val="BodyText"/>
      </w:pPr>
      <w:r>
        <w:t xml:space="preserve">To add a bit of context we can compare these with the last election’s results.</w:t>
      </w:r>
      <w:r>
        <w:t xml:space="preserve"> </w:t>
      </w:r>
      <w:r>
        <w:t xml:space="preserve">Figure</w:t>
      </w:r>
      <w:r>
        <w:t xml:space="preserve"> </w:t>
      </w:r>
      <w:r>
        <w:t xml:space="preserve">3.3</w:t>
      </w:r>
      <w:r>
        <w:t xml:space="preserve"> </w:t>
      </w:r>
      <w:r>
        <w:t xml:space="preserve">shows the current results of</w:t>
      </w:r>
      <w:r>
        <w:t xml:space="preserve"> </w:t>
      </w:r>
      <w:r>
        <w:rPr>
          <w:iCs/>
          <w:i/>
        </w:rPr>
        <w:t xml:space="preserve">decided</w:t>
      </w:r>
      <w:r>
        <w:t xml:space="preserve"> </w:t>
      </w:r>
      <w:r>
        <w:t xml:space="preserve">voters only, compared to the results of the 2019 federal election. Note that the Liberals were eight points ahead than their 2019 results, while the Conservatives were behind their past results.</w:t>
      </w:r>
    </w:p>
    <w:p>
      <w:pPr>
        <w:pStyle w:val="BodyText"/>
      </w:pPr>
      <w:r>
        <w:t xml:space="preserve">Lastly, we can also compare the spring survey of voters with the historic average levels of support received by the parties in Waterloo Region. Figure</w:t>
      </w:r>
      <w:r>
        <w:t xml:space="preserve"> </w:t>
      </w:r>
      <w:r>
        <w:t xml:space="preserve">3.4</w:t>
      </w:r>
      <w:r>
        <w:t xml:space="preserve"> </w:t>
      </w:r>
      <w:r>
        <w:t xml:space="preserve">shows this, including only</w:t>
      </w:r>
      <w:r>
        <w:t xml:space="preserve"> </w:t>
      </w:r>
      <w:r>
        <w:rPr>
          <w:iCs/>
          <w:i/>
        </w:rPr>
        <w:t xml:space="preserve">decided voters</w:t>
      </w:r>
      <w:r>
        <w:t xml:space="preserve">.</w:t>
      </w:r>
    </w:p>
    <w:p>
      <w:pPr>
        <w:pStyle w:val="CaptionedFigure"/>
      </w:pPr>
      <w:r>
        <w:drawing>
          <wp:inline>
            <wp:extent cx="5334000" cy="1778000"/>
            <wp:effectExtent b="0" l="0" r="0" t="0"/>
            <wp:docPr descr="Figure 3.4: Federal Vote Intention Compared To Historic Averages" title="" id="1" name="Picture"/>
            <a:graphic>
              <a:graphicData uri="http://schemas.openxmlformats.org/drawingml/2006/picture">
                <pic:pic>
                  <pic:nvPicPr>
                    <pic:cNvPr descr="waterloo_region_vote_intentions_summary_lispop_files/figure-docx/federal-2019-historic-1.png" id="0" name="Picture"/>
                    <pic:cNvPicPr>
                      <a:picLocks noChangeArrowheads="1" noChangeAspect="1"/>
                    </pic:cNvPicPr>
                  </pic:nvPicPr>
                  <pic:blipFill>
                    <a:blip r:embed="rId28"/>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3.4: Federal Vote Intention Compared To Historic Averages</w:t>
      </w:r>
    </w:p>
    <w:p>
      <w:r>
        <w:br w:type="page"/>
      </w:r>
    </w:p>
    <w:bookmarkStart w:id="30" w:name="X07d59fa1b9e1877678fc6aecc9548e3e769ecdb"/>
    <w:p>
      <w:pPr>
        <w:pStyle w:val="Heading2"/>
      </w:pPr>
      <w:r>
        <w:rPr>
          <w:rStyle w:val="SectionNumber"/>
        </w:rPr>
        <w:t xml:space="preserve">3.1</w:t>
      </w:r>
      <w:r>
        <w:tab/>
      </w:r>
      <w:r>
        <w:t xml:space="preserve">Assessment Of Federal Handling Of The Pandemic</w:t>
      </w:r>
    </w:p>
    <w:p>
      <w:pPr>
        <w:pStyle w:val="FirstParagraph"/>
      </w:pPr>
      <w:r>
        <w:t xml:space="preserve">Table</w:t>
      </w:r>
      <w:r>
        <w:t xml:space="preserve"> </w:t>
      </w:r>
      <w:r>
        <w:t xml:space="preserve">3.1</w:t>
      </w:r>
      <w:r>
        <w:t xml:space="preserve"> </w:t>
      </w:r>
      <w:r>
        <w:t xml:space="preserve">shows that 61% of the respondents approved of how Trudeau had handled the pandemic.</w:t>
      </w:r>
    </w:p>
    <w:p>
      <w:pPr>
        <w:pStyle w:val="BodyText"/>
      </w:pPr>
      <w:r>
        <w:t xml:space="preserve">Table 3.1: Support For Trudeau’s Handling of The Pandemic</w:t>
      </w:r>
    </w:p>
    <w:p>
      <w:pPr>
        <w:pStyle w:val="BodyText"/>
      </w:pPr>
      <w:r>
        <w:t xml:space="preserve">Approval</w:t>
      </w:r>
    </w:p>
    <w:p>
      <w:pPr>
        <w:pStyle w:val="BodyText"/>
      </w:pPr>
      <w:r>
        <w:t xml:space="preserve">Pct</w:t>
      </w:r>
    </w:p>
    <w:p>
      <w:pPr>
        <w:pStyle w:val="BodyText"/>
      </w:pPr>
      <w:r>
        <w:t xml:space="preserve">Approve</w:t>
      </w:r>
    </w:p>
    <w:p>
      <w:pPr>
        <w:pStyle w:val="BodyText"/>
      </w:pPr>
      <w:r>
        <w:t xml:space="preserve">61</w:t>
      </w:r>
    </w:p>
    <w:p>
      <w:pPr>
        <w:pStyle w:val="BodyText"/>
      </w:pPr>
      <w:r>
        <w:t xml:space="preserve">Disapprove</w:t>
      </w:r>
    </w:p>
    <w:p>
      <w:pPr>
        <w:pStyle w:val="BodyText"/>
      </w:pPr>
      <w:r>
        <w:t xml:space="preserve">29</w:t>
      </w:r>
    </w:p>
    <w:p>
      <w:pPr>
        <w:pStyle w:val="BodyText"/>
      </w:pPr>
      <w:r>
        <w:t xml:space="preserve">Neither</w:t>
      </w:r>
    </w:p>
    <w:p>
      <w:pPr>
        <w:pStyle w:val="BodyText"/>
      </w:pPr>
      <w:r>
        <w:t xml:space="preserve">10</w:t>
      </w:r>
    </w:p>
    <w:p>
      <w:pPr>
        <w:pStyle w:val="BodyText"/>
      </w:pPr>
      <w:r>
        <w:t xml:space="preserve">If we break it out by vote intention, obviously we get different results. Figure</w:t>
      </w:r>
      <w:r>
        <w:t xml:space="preserve"> </w:t>
      </w:r>
      <w:r>
        <w:t xml:space="preserve">3.5</w:t>
      </w:r>
      <w:r>
        <w:t xml:space="preserve"> </w:t>
      </w:r>
      <w:r>
        <w:t xml:space="preserve">shows the assessment of Prime Minister Justin Trudeau's handling of the pandemic by reported vote in the 2021 federal election.</w:t>
      </w:r>
    </w:p>
    <w:p>
      <w:pPr>
        <w:pStyle w:val="CaptionedFigure"/>
      </w:pPr>
      <w:r>
        <w:drawing>
          <wp:inline>
            <wp:extent cx="5334000" cy="1778000"/>
            <wp:effectExtent b="0" l="0" r="0" t="0"/>
            <wp:docPr descr="Figure 3.5: Approval of Trudeau handling by 2021 Vote Intention" title="" id="1" name="Picture"/>
            <a:graphic>
              <a:graphicData uri="http://schemas.openxmlformats.org/drawingml/2006/picture">
                <pic:pic>
                  <pic:nvPicPr>
                    <pic:cNvPr descr="waterloo_region_vote_intentions_summary_lispop_files/figure-docx/trudeau-approval-by-2019-vote-1.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3.5: Approval of Trudeau handling by 2021 Vote Intention</w:t>
      </w:r>
    </w:p>
    <w:p>
      <w:pPr>
        <w:pStyle w:val="BodyText"/>
      </w:pPr>
      <w:r>
        <w:t xml:space="preserve">More specifically, table</w:t>
      </w:r>
      <w:r>
        <w:t xml:space="preserve"> </w:t>
      </w:r>
      <w:r>
        <w:t xml:space="preserve">3.2</w:t>
      </w:r>
      <w:r>
        <w:t xml:space="preserve"> </w:t>
      </w:r>
      <w:r>
        <w:t xml:space="preserve">shows that 73% of people who voted Liberal and 16% of people who voted Conservative approved of the job that Justin Trudeau has done handling the pandemic.</w:t>
      </w:r>
    </w:p>
    <w:p>
      <w:pPr>
        <w:pStyle w:val="BodyText"/>
      </w:pPr>
      <w:r>
        <w:t xml:space="preserve">Table 3.2: Approval of Trudeau’s Handling Of The Pandemic By Past Vote</w:t>
      </w:r>
    </w:p>
    <w:p>
      <w:pPr>
        <w:pStyle w:val="BodyText"/>
      </w:pPr>
      <w:r>
        <w:t xml:space="preserve">Approve</w:t>
      </w:r>
    </w:p>
    <w:p>
      <w:pPr>
        <w:pStyle w:val="BodyText"/>
      </w:pPr>
      <w:r>
        <w:t xml:space="preserve">Neither</w:t>
      </w:r>
    </w:p>
    <w:p>
      <w:pPr>
        <w:pStyle w:val="BodyText"/>
      </w:pPr>
      <w:r>
        <w:t xml:space="preserve">Disapprove</w:t>
      </w:r>
    </w:p>
    <w:p>
      <w:pPr>
        <w:pStyle w:val="BodyText"/>
      </w:pPr>
      <w:r>
        <w:t xml:space="preserve">Liberal</w:t>
      </w:r>
    </w:p>
    <w:p>
      <w:pPr>
        <w:pStyle w:val="BodyText"/>
      </w:pPr>
      <w:r>
        <w:t xml:space="preserve">73</w:t>
      </w:r>
    </w:p>
    <w:p>
      <w:pPr>
        <w:pStyle w:val="BodyText"/>
      </w:pPr>
      <w:r>
        <w:t xml:space="preserve">7</w:t>
      </w:r>
    </w:p>
    <w:p>
      <w:pPr>
        <w:pStyle w:val="BodyText"/>
      </w:pPr>
      <w:r>
        <w:t xml:space="preserve">20</w:t>
      </w:r>
    </w:p>
    <w:p>
      <w:pPr>
        <w:pStyle w:val="BodyText"/>
      </w:pPr>
      <w:r>
        <w:t xml:space="preserve">Conservative</w:t>
      </w:r>
    </w:p>
    <w:p>
      <w:pPr>
        <w:pStyle w:val="BodyText"/>
      </w:pPr>
      <w:r>
        <w:t xml:space="preserve">16</w:t>
      </w:r>
    </w:p>
    <w:p>
      <w:pPr>
        <w:pStyle w:val="BodyText"/>
      </w:pPr>
      <w:r>
        <w:t xml:space="preserve">13</w:t>
      </w:r>
    </w:p>
    <w:p>
      <w:pPr>
        <w:pStyle w:val="BodyText"/>
      </w:pPr>
      <w:r>
        <w:t xml:space="preserve">71</w:t>
      </w:r>
    </w:p>
    <w:p>
      <w:pPr>
        <w:pStyle w:val="BodyText"/>
      </w:pPr>
      <w:r>
        <w:t xml:space="preserve">NDP</w:t>
      </w:r>
    </w:p>
    <w:p>
      <w:pPr>
        <w:pStyle w:val="BodyText"/>
      </w:pPr>
      <w:r>
        <w:t xml:space="preserve">54</w:t>
      </w:r>
    </w:p>
    <w:p>
      <w:pPr>
        <w:pStyle w:val="BodyText"/>
      </w:pPr>
      <w:r>
        <w:t xml:space="preserve">17</w:t>
      </w:r>
    </w:p>
    <w:p>
      <w:pPr>
        <w:pStyle w:val="BodyText"/>
      </w:pPr>
      <w:r>
        <w:t xml:space="preserve">28</w:t>
      </w:r>
    </w:p>
    <w:p>
      <w:pPr>
        <w:pStyle w:val="BodyText"/>
      </w:pPr>
      <w:r>
        <w:t xml:space="preserve">Green</w:t>
      </w:r>
    </w:p>
    <w:p>
      <w:pPr>
        <w:pStyle w:val="BodyText"/>
      </w:pPr>
      <w:r>
        <w:t xml:space="preserve">40</w:t>
      </w:r>
    </w:p>
    <w:p>
      <w:pPr>
        <w:pStyle w:val="BodyText"/>
      </w:pPr>
      <w:r>
        <w:t xml:space="preserve">19</w:t>
      </w:r>
    </w:p>
    <w:p>
      <w:pPr>
        <w:pStyle w:val="BodyText"/>
      </w:pPr>
      <w:r>
        <w:t xml:space="preserve">41</w:t>
      </w:r>
    </w:p>
    <w:p>
      <w:pPr>
        <w:pStyle w:val="BodyText"/>
      </w:pPr>
      <w:r>
        <w:t xml:space="preserve">Other</w:t>
      </w:r>
    </w:p>
    <w:p>
      <w:pPr>
        <w:pStyle w:val="BodyText"/>
      </w:pPr>
      <w:r>
        <w:t xml:space="preserve">9</w:t>
      </w:r>
    </w:p>
    <w:p>
      <w:pPr>
        <w:pStyle w:val="BodyText"/>
      </w:pPr>
      <w:r>
        <w:t xml:space="preserve">29</w:t>
      </w:r>
    </w:p>
    <w:p>
      <w:pPr>
        <w:pStyle w:val="BodyText"/>
      </w:pPr>
      <w:r>
        <w:t xml:space="preserve">61</w:t>
      </w:r>
    </w:p>
    <w:p>
      <w:pPr>
        <w:pStyle w:val="BodyText"/>
      </w:pPr>
      <w:r>
        <w:t xml:space="preserve">Did Not Vote</w:t>
      </w:r>
    </w:p>
    <w:p>
      <w:pPr>
        <w:pStyle w:val="BodyText"/>
      </w:pPr>
      <w:r>
        <w:t xml:space="preserve">59</w:t>
      </w:r>
    </w:p>
    <w:p>
      <w:pPr>
        <w:pStyle w:val="BodyText"/>
      </w:pPr>
      <w:r>
        <w:t xml:space="preserve">29</w:t>
      </w:r>
    </w:p>
    <w:p>
      <w:pPr>
        <w:pStyle w:val="BodyText"/>
      </w:pPr>
      <w:r>
        <w:t xml:space="preserve">12</w:t>
      </w:r>
    </w:p>
    <w:p>
      <w:pPr>
        <w:pStyle w:val="BodyText"/>
      </w:pPr>
      <w:r>
        <w:t xml:space="preserve">DK</w:t>
      </w:r>
    </w:p>
    <w:p>
      <w:pPr>
        <w:pStyle w:val="BodyText"/>
      </w:pPr>
      <w:r>
        <w:t xml:space="preserve">61</w:t>
      </w:r>
    </w:p>
    <w:p>
      <w:pPr>
        <w:pStyle w:val="BodyText"/>
      </w:pPr>
      <w:r>
        <w:t xml:space="preserve">24</w:t>
      </w:r>
    </w:p>
    <w:p>
      <w:pPr>
        <w:pStyle w:val="BodyText"/>
      </w:pPr>
      <w:r>
        <w:t xml:space="preserve">15</w:t>
      </w:r>
    </w:p>
    <w:p>
      <w:r>
        <w:br w:type="page"/>
      </w:r>
    </w:p>
    <w:bookmarkEnd w:id="30"/>
    <w:bookmarkEnd w:id="31"/>
    <w:bookmarkStart w:id="37" w:name="provincial-vote"/>
    <w:p>
      <w:pPr>
        <w:pStyle w:val="Heading1"/>
      </w:pPr>
      <w:r>
        <w:rPr>
          <w:rStyle w:val="SectionNumber"/>
        </w:rPr>
        <w:t xml:space="preserve">4</w:t>
      </w:r>
      <w:r>
        <w:tab/>
      </w:r>
      <w:r>
        <w:t xml:space="preserve">Provincial Vote</w:t>
      </w:r>
    </w:p>
    <w:p>
      <w:pPr>
        <w:pStyle w:val="FirstParagraph"/>
      </w:pPr>
      <w:r>
        <w:t xml:space="preserve">Figure</w:t>
      </w:r>
      <w:r>
        <w:t xml:space="preserve"> </w:t>
      </w:r>
      <w:r>
        <w:t xml:space="preserve">4.1</w:t>
      </w:r>
      <w:r>
        <w:t xml:space="preserve"> </w:t>
      </w:r>
      <w:r>
        <w:t xml:space="preserve">shows the distribution of the provincial vote intention,</w:t>
      </w:r>
      <w:r>
        <w:t xml:space="preserve"> </w:t>
      </w:r>
      <w:r>
        <w:rPr>
          <w:iCs/>
          <w:i/>
        </w:rPr>
        <w:t xml:space="preserve">including undecided voters</w:t>
      </w:r>
      <w:r>
        <w:t xml:space="preserve">.</w:t>
      </w:r>
    </w:p>
    <w:p>
      <w:pPr>
        <w:pStyle w:val="CaptionedFigure"/>
      </w:pPr>
      <w:r>
        <w:drawing>
          <wp:inline>
            <wp:extent cx="5334000" cy="1778000"/>
            <wp:effectExtent b="0" l="0" r="0" t="0"/>
            <wp:docPr descr="Figure 4.1: Distribution of Provincial Vote Intention, Waterloo Region 2019" title="" id="1" name="Picture"/>
            <a:graphic>
              <a:graphicData uri="http://schemas.openxmlformats.org/drawingml/2006/picture">
                <pic:pic>
                  <pic:nvPicPr>
                    <pic:cNvPr descr="waterloo_region_vote_intentions_summary_lispop_files/figure-docx/provincial-vote-intention-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4.1: Distribution of Provincial Vote Intention, Waterloo Region 2019</w:t>
      </w:r>
    </w:p>
    <w:p>
      <w:pPr>
        <w:pStyle w:val="CaptionedFigure"/>
      </w:pPr>
      <w:r>
        <w:drawing>
          <wp:inline>
            <wp:extent cx="5334000" cy="1778000"/>
            <wp:effectExtent b="0" l="0" r="0" t="0"/>
            <wp:docPr descr="Figure 4.2: Distribution of Provincial Vote Intention, Waterloo Region 2019, Decided Voters Only" title="" id="1" name="Picture"/>
            <a:graphic>
              <a:graphicData uri="http://schemas.openxmlformats.org/drawingml/2006/picture">
                <pic:pic>
                  <pic:nvPicPr>
                    <pic:cNvPr descr="waterloo_region_vote_intentions_summary_lispop_files/figure-docx/provincial-vote-intention-decided-1.png" id="0" name="Picture"/>
                    <pic:cNvPicPr>
                      <a:picLocks noChangeArrowheads="1" noChangeAspect="1"/>
                    </pic:cNvPicPr>
                  </pic:nvPicPr>
                  <pic:blipFill>
                    <a:blip r:embed="rId33"/>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4.2: Distribution of Provincial Vote Intention, Waterloo Region 2019, Decided Voters Only</w:t>
      </w:r>
    </w:p>
    <w:p>
      <w:pPr>
        <w:pStyle w:val="BodyText"/>
      </w:pPr>
      <w:r>
        <w:t xml:space="preserve">Figure</w:t>
      </w:r>
      <w:r>
        <w:t xml:space="preserve"> </w:t>
      </w:r>
      <w:r>
        <w:t xml:space="preserve">4.3</w:t>
      </w:r>
      <w:r>
        <w:t xml:space="preserve"> </w:t>
      </w:r>
      <w:r>
        <w:t xml:space="preserve">shows the current provincial vote intention</w:t>
      </w:r>
      <w:r>
        <w:t xml:space="preserve"> </w:t>
      </w:r>
      <w:r>
        <w:rPr>
          <w:iCs/>
          <w:i/>
        </w:rPr>
        <w:t xml:space="preserve">amongst decided voters</w:t>
      </w:r>
      <w:r>
        <w:t xml:space="preserve"> </w:t>
      </w:r>
      <w:r>
        <w:t xml:space="preserve">compared to the 2018 results. The Liberals have almost doubled their support amongst decided voters; the NDP have lost more than half their supporters.</w:t>
      </w:r>
    </w:p>
    <w:p>
      <w:pPr>
        <w:pStyle w:val="CaptionedFigure"/>
      </w:pPr>
      <w:r>
        <w:drawing>
          <wp:inline>
            <wp:extent cx="5334000" cy="1778000"/>
            <wp:effectExtent b="0" l="0" r="0" t="0"/>
            <wp:docPr descr="Figure 4.3: Provincial Vote Intention By 2018 Result" title="" id="1" name="Picture"/>
            <a:graphic>
              <a:graphicData uri="http://schemas.openxmlformats.org/drawingml/2006/picture">
                <pic:pic>
                  <pic:nvPicPr>
                    <pic:cNvPr descr="waterloo_region_vote_intentions_summary_lispop_files/figure-docx/ford-approval-by-2018-vote-1.png" id="0"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4.3: Provincial Vote Intention By 2018 Result</w:t>
      </w:r>
    </w:p>
    <w:p>
      <w:pPr>
        <w:pStyle w:val="BodyText"/>
      </w:pPr>
      <w:r>
        <w:t xml:space="preserve">Figure</w:t>
      </w:r>
      <w:r>
        <w:t xml:space="preserve"> </w:t>
      </w:r>
      <w:r>
        <w:t xml:space="preserve">4.4</w:t>
      </w:r>
      <w:r>
        <w:t xml:space="preserve"> </w:t>
      </w:r>
      <w:r>
        <w:t xml:space="preserve">shows the current voting intention by the parties’ historic averages in Waterloo region.</w:t>
      </w:r>
    </w:p>
    <w:p>
      <w:pPr>
        <w:pStyle w:val="CaptionedFigure"/>
      </w:pPr>
      <w:r>
        <w:drawing>
          <wp:inline>
            <wp:extent cx="5334000" cy="1778000"/>
            <wp:effectExtent b="0" l="0" r="0" t="0"/>
            <wp:docPr descr="Figure 4.4: Provincial Vote Intention By Historic Average" title="" id="1" name="Picture"/>
            <a:graphic>
              <a:graphicData uri="http://schemas.openxmlformats.org/drawingml/2006/picture">
                <pic:pic>
                  <pic:nvPicPr>
                    <pic:cNvPr descr="waterloo_region_vote_intentions_summary_lispop_files/figure-docx/provincial-vote-intention-2018-historic-average-1.png" id="0" name="Picture"/>
                    <pic:cNvPicPr>
                      <a:picLocks noChangeArrowheads="1" noChangeAspect="1"/>
                    </pic:cNvPicPr>
                  </pic:nvPicPr>
                  <pic:blipFill>
                    <a:blip r:embed="rId35"/>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4.4: Provincial Vote Intention By Historic Average</w:t>
      </w:r>
    </w:p>
    <w:p>
      <w:pPr>
        <w:pStyle w:val="BodyText"/>
      </w:pPr>
      <w:r>
        <w:t xml:space="preserve">Table</w:t>
      </w:r>
      <w:r>
        <w:t xml:space="preserve"> </w:t>
      </w:r>
      <w:r>
        <w:t xml:space="preserve">4.1</w:t>
      </w:r>
      <w:r>
        <w:t xml:space="preserve"> </w:t>
      </w:r>
      <w:r>
        <w:t xml:space="preserve">shows that 61% of the respondents approved of how Ford had handled the pandemic.</w:t>
      </w:r>
    </w:p>
    <w:p>
      <w:pPr>
        <w:pStyle w:val="BodyText"/>
      </w:pPr>
      <w:r>
        <w:t xml:space="preserve">Table 4.1: Support For Ford’s Handling of The Pandemic</w:t>
      </w:r>
    </w:p>
    <w:p>
      <w:pPr>
        <w:pStyle w:val="BodyText"/>
      </w:pPr>
      <w:r>
        <w:t xml:space="preserve">Approval</w:t>
      </w:r>
    </w:p>
    <w:p>
      <w:pPr>
        <w:pStyle w:val="BodyText"/>
      </w:pPr>
      <w:r>
        <w:t xml:space="preserve">Pct</w:t>
      </w:r>
    </w:p>
    <w:p>
      <w:pPr>
        <w:pStyle w:val="BodyText"/>
      </w:pPr>
      <w:r>
        <w:t xml:space="preserve">Approve</w:t>
      </w:r>
    </w:p>
    <w:p>
      <w:pPr>
        <w:pStyle w:val="BodyText"/>
      </w:pPr>
      <w:r>
        <w:t xml:space="preserve">47</w:t>
      </w:r>
    </w:p>
    <w:p>
      <w:pPr>
        <w:pStyle w:val="BodyText"/>
      </w:pPr>
      <w:r>
        <w:t xml:space="preserve">Disapprove</w:t>
      </w:r>
    </w:p>
    <w:p>
      <w:pPr>
        <w:pStyle w:val="BodyText"/>
      </w:pPr>
      <w:r>
        <w:t xml:space="preserve">44</w:t>
      </w:r>
    </w:p>
    <w:p>
      <w:pPr>
        <w:pStyle w:val="BodyText"/>
      </w:pPr>
      <w:r>
        <w:t xml:space="preserve">Neither</w:t>
      </w:r>
    </w:p>
    <w:p>
      <w:pPr>
        <w:pStyle w:val="BodyText"/>
      </w:pPr>
      <w:r>
        <w:t xml:space="preserve">9</w:t>
      </w:r>
    </w:p>
    <w:p>
      <w:pPr>
        <w:pStyle w:val="BodyText"/>
      </w:pPr>
      <w:r>
        <w:t xml:space="preserve">Figure</w:t>
      </w:r>
      <w:r>
        <w:t xml:space="preserve"> </w:t>
      </w:r>
      <w:r>
        <w:t xml:space="preserve">4.5</w:t>
      </w:r>
      <w:r>
        <w:t xml:space="preserve"> </w:t>
      </w:r>
      <w:r>
        <w:t xml:space="preserve">shows the distribution of approval of Ford’s handling of the pandemic by 2022 vote intention.</w:t>
      </w:r>
    </w:p>
    <w:p>
      <w:pPr>
        <w:pStyle w:val="CaptionedFigure"/>
      </w:pPr>
      <w:r>
        <w:drawing>
          <wp:inline>
            <wp:extent cx="5334000" cy="1778000"/>
            <wp:effectExtent b="0" l="0" r="0" t="0"/>
            <wp:docPr descr="Figure 4.5: Approval of Ford Handling by 2022 Provincial Vote Intention" title="" id="1" name="Picture"/>
            <a:graphic>
              <a:graphicData uri="http://schemas.openxmlformats.org/drawingml/2006/picture">
                <pic:pic>
                  <pic:nvPicPr>
                    <pic:cNvPr descr="waterloo_region_vote_intentions_summary_lispop_files/figure-docx/ford-assessment-2018-vote-1.png" id="0" name="Picture"/>
                    <pic:cNvPicPr>
                      <a:picLocks noChangeArrowheads="1" noChangeAspect="1"/>
                    </pic:cNvPicPr>
                  </pic:nvPicPr>
                  <pic:blipFill>
                    <a:blip r:embed="rId3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4.5: Approval of Ford Handling by 2022 Provincial Vote Intention</w:t>
      </w:r>
    </w:p>
    <w:p>
      <w:pPr>
        <w:pStyle w:val="BodyText"/>
      </w:pPr>
      <w:r>
        <w:t xml:space="preserve">Table</w:t>
      </w:r>
      <w:r>
        <w:t xml:space="preserve"> </w:t>
      </w:r>
      <w:r>
        <w:t xml:space="preserve">4.2</w:t>
      </w:r>
      <w:r>
        <w:t xml:space="preserve"> </w:t>
      </w:r>
      <w:r>
        <w:t xml:space="preserve">shows that 61% of past PC voters approve of the job that Ford is doing, while only 51% of Liberal voters and only 29% of past NDP voters approve.</w:t>
      </w:r>
    </w:p>
    <w:p>
      <w:pPr>
        <w:pStyle w:val="BodyText"/>
      </w:pPr>
      <w:r>
        <w:t xml:space="preserve">Table 4.2: Approval of Doug Ford’s Handling Of Pandemic By 2018 Past Vote</w:t>
      </w:r>
    </w:p>
    <w:p>
      <w:pPr>
        <w:pStyle w:val="BodyText"/>
      </w:pPr>
      <w:r>
        <w:t xml:space="preserve">Approve</w:t>
      </w:r>
    </w:p>
    <w:p>
      <w:pPr>
        <w:pStyle w:val="BodyText"/>
      </w:pPr>
      <w:r>
        <w:t xml:space="preserve">Neither</w:t>
      </w:r>
    </w:p>
    <w:p>
      <w:pPr>
        <w:pStyle w:val="BodyText"/>
      </w:pPr>
      <w:r>
        <w:t xml:space="preserve">Disapprove</w:t>
      </w:r>
    </w:p>
    <w:p>
      <w:pPr>
        <w:pStyle w:val="BodyText"/>
      </w:pPr>
      <w:r>
        <w:t xml:space="preserve">PC</w:t>
      </w:r>
    </w:p>
    <w:p>
      <w:pPr>
        <w:pStyle w:val="BodyText"/>
      </w:pPr>
      <w:r>
        <w:t xml:space="preserve">61</w:t>
      </w:r>
    </w:p>
    <w:p>
      <w:pPr>
        <w:pStyle w:val="BodyText"/>
      </w:pPr>
      <w:r>
        <w:t xml:space="preserve">7</w:t>
      </w:r>
    </w:p>
    <w:p>
      <w:pPr>
        <w:pStyle w:val="BodyText"/>
      </w:pPr>
      <w:r>
        <w:t xml:space="preserve">32</w:t>
      </w:r>
    </w:p>
    <w:p>
      <w:pPr>
        <w:pStyle w:val="BodyText"/>
      </w:pPr>
      <w:r>
        <w:t xml:space="preserve">NDP</w:t>
      </w:r>
    </w:p>
    <w:p>
      <w:pPr>
        <w:pStyle w:val="BodyText"/>
      </w:pPr>
      <w:r>
        <w:t xml:space="preserve">29</w:t>
      </w:r>
    </w:p>
    <w:p>
      <w:pPr>
        <w:pStyle w:val="BodyText"/>
      </w:pPr>
      <w:r>
        <w:t xml:space="preserve">7</w:t>
      </w:r>
    </w:p>
    <w:p>
      <w:pPr>
        <w:pStyle w:val="BodyText"/>
      </w:pPr>
      <w:r>
        <w:t xml:space="preserve">64</w:t>
      </w:r>
    </w:p>
    <w:p>
      <w:pPr>
        <w:pStyle w:val="BodyText"/>
      </w:pPr>
      <w:r>
        <w:t xml:space="preserve">Liberal</w:t>
      </w:r>
    </w:p>
    <w:p>
      <w:pPr>
        <w:pStyle w:val="BodyText"/>
      </w:pPr>
      <w:r>
        <w:t xml:space="preserve">56</w:t>
      </w:r>
    </w:p>
    <w:p>
      <w:pPr>
        <w:pStyle w:val="BodyText"/>
      </w:pPr>
      <w:r>
        <w:t xml:space="preserve">4</w:t>
      </w:r>
    </w:p>
    <w:p>
      <w:pPr>
        <w:pStyle w:val="BodyText"/>
      </w:pPr>
      <w:r>
        <w:t xml:space="preserve">40</w:t>
      </w:r>
    </w:p>
    <w:p>
      <w:pPr>
        <w:pStyle w:val="BodyText"/>
      </w:pPr>
      <w:r>
        <w:t xml:space="preserve">Green</w:t>
      </w:r>
    </w:p>
    <w:p>
      <w:pPr>
        <w:pStyle w:val="BodyText"/>
      </w:pPr>
      <w:r>
        <w:t xml:space="preserve">38</w:t>
      </w:r>
    </w:p>
    <w:p>
      <w:pPr>
        <w:pStyle w:val="BodyText"/>
      </w:pPr>
      <w:r>
        <w:t xml:space="preserve">0</w:t>
      </w:r>
    </w:p>
    <w:p>
      <w:pPr>
        <w:pStyle w:val="BodyText"/>
      </w:pPr>
      <w:r>
        <w:t xml:space="preserve">62</w:t>
      </w:r>
    </w:p>
    <w:p>
      <w:pPr>
        <w:pStyle w:val="BodyText"/>
      </w:pPr>
      <w:r>
        <w:t xml:space="preserve">Other</w:t>
      </w:r>
    </w:p>
    <w:p>
      <w:pPr>
        <w:pStyle w:val="BodyText"/>
      </w:pPr>
      <w:r>
        <w:t xml:space="preserve">0</w:t>
      </w:r>
    </w:p>
    <w:p>
      <w:pPr>
        <w:pStyle w:val="BodyText"/>
      </w:pPr>
      <w:r>
        <w:t xml:space="preserve">0</w:t>
      </w:r>
    </w:p>
    <w:p>
      <w:pPr>
        <w:pStyle w:val="BodyText"/>
      </w:pPr>
      <w:r>
        <w:t xml:space="preserve">100</w:t>
      </w:r>
    </w:p>
    <w:p>
      <w:pPr>
        <w:pStyle w:val="BodyText"/>
      </w:pPr>
      <w:r>
        <w:t xml:space="preserve">Did Not Vote</w:t>
      </w:r>
    </w:p>
    <w:p>
      <w:pPr>
        <w:pStyle w:val="BodyText"/>
      </w:pPr>
      <w:r>
        <w:t xml:space="preserve">34</w:t>
      </w:r>
    </w:p>
    <w:p>
      <w:pPr>
        <w:pStyle w:val="BodyText"/>
      </w:pPr>
      <w:r>
        <w:t xml:space="preserve">34</w:t>
      </w:r>
    </w:p>
    <w:p>
      <w:pPr>
        <w:pStyle w:val="BodyText"/>
      </w:pPr>
      <w:r>
        <w:t xml:space="preserve">32</w:t>
      </w:r>
    </w:p>
    <w:p>
      <w:pPr>
        <w:pStyle w:val="BodyText"/>
      </w:pPr>
      <w:r>
        <w:t xml:space="preserve">DK</w:t>
      </w:r>
    </w:p>
    <w:p>
      <w:pPr>
        <w:pStyle w:val="BodyText"/>
      </w:pPr>
      <w:r>
        <w:t xml:space="preserve">43</w:t>
      </w:r>
    </w:p>
    <w:p>
      <w:pPr>
        <w:pStyle w:val="BodyText"/>
      </w:pPr>
      <w:r>
        <w:t xml:space="preserve">22</w:t>
      </w:r>
    </w:p>
    <w:p>
      <w:pPr>
        <w:pStyle w:val="BodyText"/>
      </w:pPr>
      <w:r>
        <w:t xml:space="preserve">35</w:t>
      </w:r>
    </w:p>
    <w:p>
      <w:r>
        <w:br w:type="page"/>
      </w:r>
    </w:p>
    <w:bookmarkEnd w:id="37"/>
    <w:bookmarkStart w:id="38" w:name="vaccine-hesitancy"/>
    <w:p>
      <w:pPr>
        <w:pStyle w:val="Heading1"/>
      </w:pPr>
      <w:r>
        <w:rPr>
          <w:rStyle w:val="SectionNumber"/>
        </w:rPr>
        <w:t xml:space="preserve">5</w:t>
      </w:r>
      <w:r>
        <w:tab/>
      </w:r>
      <w:r>
        <w:t xml:space="preserve">Vaccine Hesitancy</w:t>
      </w:r>
    </w:p>
    <w:p>
      <w:pPr>
        <w:pStyle w:val="FirstParagraph"/>
      </w:pPr>
      <w:r>
        <w:t xml:space="preserve">Table 5.1: Vaccine Hesitancy by 2018 Vote</w:t>
      </w:r>
    </w:p>
    <w:p>
      <w:pPr>
        <w:pStyle w:val="BodyText"/>
      </w:pPr>
      <w:r>
        <w:t xml:space="preserve">Not Hesitant</w:t>
      </w:r>
    </w:p>
    <w:p>
      <w:pPr>
        <w:pStyle w:val="BodyText"/>
      </w:pPr>
      <w:r>
        <w:t xml:space="preserve">Hesitant</w:t>
      </w:r>
    </w:p>
    <w:p>
      <w:pPr>
        <w:pStyle w:val="BodyText"/>
      </w:pPr>
      <w:r>
        <w:t xml:space="preserve">n</w:t>
      </w:r>
    </w:p>
    <w:p>
      <w:pPr>
        <w:pStyle w:val="BodyText"/>
      </w:pPr>
      <w:r>
        <w:t xml:space="preserve">PC</w:t>
      </w:r>
    </w:p>
    <w:p>
      <w:pPr>
        <w:pStyle w:val="BodyText"/>
      </w:pPr>
      <w:r>
        <w:t xml:space="preserve">80</w:t>
      </w:r>
    </w:p>
    <w:p>
      <w:pPr>
        <w:pStyle w:val="BodyText"/>
      </w:pPr>
      <w:r>
        <w:t xml:space="preserve">20</w:t>
      </w:r>
    </w:p>
    <w:p>
      <w:pPr>
        <w:pStyle w:val="BodyText"/>
      </w:pPr>
      <w:r>
        <w:t xml:space="preserve">103</w:t>
      </w:r>
    </w:p>
    <w:p>
      <w:pPr>
        <w:pStyle w:val="BodyText"/>
      </w:pPr>
      <w:r>
        <w:t xml:space="preserve">NDP</w:t>
      </w:r>
    </w:p>
    <w:p>
      <w:pPr>
        <w:pStyle w:val="BodyText"/>
      </w:pPr>
      <w:r>
        <w:t xml:space="preserve">96</w:t>
      </w:r>
    </w:p>
    <w:p>
      <w:pPr>
        <w:pStyle w:val="BodyText"/>
      </w:pPr>
      <w:r>
        <w:t xml:space="preserve">4</w:t>
      </w:r>
    </w:p>
    <w:p>
      <w:pPr>
        <w:pStyle w:val="BodyText"/>
      </w:pPr>
      <w:r>
        <w:t xml:space="preserve">77</w:t>
      </w:r>
    </w:p>
    <w:p>
      <w:pPr>
        <w:pStyle w:val="BodyText"/>
      </w:pPr>
      <w:r>
        <w:t xml:space="preserve">Liberal</w:t>
      </w:r>
    </w:p>
    <w:p>
      <w:pPr>
        <w:pStyle w:val="BodyText"/>
      </w:pPr>
      <w:r>
        <w:t xml:space="preserve">100</w:t>
      </w:r>
    </w:p>
    <w:p>
      <w:pPr>
        <w:pStyle w:val="BodyText"/>
      </w:pPr>
      <w:r>
        <w:t xml:space="preserve">0</w:t>
      </w:r>
    </w:p>
    <w:p>
      <w:pPr>
        <w:pStyle w:val="BodyText"/>
      </w:pPr>
      <w:r>
        <w:t xml:space="preserve">135</w:t>
      </w:r>
    </w:p>
    <w:p>
      <w:pPr>
        <w:pStyle w:val="BodyText"/>
      </w:pPr>
      <w:r>
        <w:t xml:space="preserve">Green</w:t>
      </w:r>
    </w:p>
    <w:p>
      <w:pPr>
        <w:pStyle w:val="BodyText"/>
      </w:pPr>
      <w:r>
        <w:t xml:space="preserve">83</w:t>
      </w:r>
    </w:p>
    <w:p>
      <w:pPr>
        <w:pStyle w:val="BodyText"/>
      </w:pPr>
      <w:r>
        <w:t xml:space="preserve">17</w:t>
      </w:r>
    </w:p>
    <w:p>
      <w:pPr>
        <w:pStyle w:val="BodyText"/>
      </w:pPr>
      <w:r>
        <w:t xml:space="preserve">43</w:t>
      </w:r>
    </w:p>
    <w:p>
      <w:pPr>
        <w:pStyle w:val="BodyText"/>
      </w:pPr>
      <w:r>
        <w:t xml:space="preserve">Other</w:t>
      </w:r>
    </w:p>
    <w:p>
      <w:pPr>
        <w:pStyle w:val="BodyText"/>
      </w:pPr>
      <w:r>
        <w:t xml:space="preserve">100</w:t>
      </w:r>
    </w:p>
    <w:p>
      <w:pPr>
        <w:pStyle w:val="BodyText"/>
      </w:pPr>
      <w:r>
        <w:t xml:space="preserve">0</w:t>
      </w:r>
    </w:p>
    <w:p>
      <w:pPr>
        <w:pStyle w:val="BodyText"/>
      </w:pPr>
      <w:r>
        <w:t xml:space="preserve">2</w:t>
      </w:r>
    </w:p>
    <w:p>
      <w:pPr>
        <w:pStyle w:val="BodyText"/>
      </w:pPr>
      <w:r>
        <w:t xml:space="preserve">Did Not Vote</w:t>
      </w:r>
    </w:p>
    <w:p>
      <w:pPr>
        <w:pStyle w:val="BodyText"/>
      </w:pPr>
      <w:r>
        <w:t xml:space="preserve">84</w:t>
      </w:r>
    </w:p>
    <w:p>
      <w:pPr>
        <w:pStyle w:val="BodyText"/>
      </w:pPr>
      <w:r>
        <w:t xml:space="preserve">16</w:t>
      </w:r>
    </w:p>
    <w:p>
      <w:pPr>
        <w:pStyle w:val="BodyText"/>
      </w:pPr>
      <w:r>
        <w:t xml:space="preserve">79</w:t>
      </w:r>
    </w:p>
    <w:p>
      <w:pPr>
        <w:pStyle w:val="BodyText"/>
      </w:pPr>
      <w:r>
        <w:t xml:space="preserve">DK</w:t>
      </w:r>
    </w:p>
    <w:p>
      <w:pPr>
        <w:pStyle w:val="BodyText"/>
      </w:pPr>
      <w:r>
        <w:t xml:space="preserve">80</w:t>
      </w:r>
    </w:p>
    <w:p>
      <w:pPr>
        <w:pStyle w:val="BodyText"/>
      </w:pPr>
      <w:r>
        <w:t xml:space="preserve">20</w:t>
      </w:r>
    </w:p>
    <w:p>
      <w:pPr>
        <w:pStyle w:val="BodyText"/>
      </w:pPr>
      <w:r>
        <w:t xml:space="preserve">58</w:t>
      </w:r>
    </w:p>
    <w:p>
      <w:r>
        <w:br w:type="page"/>
      </w:r>
    </w:p>
    <w:p>
      <w:r>
        <w:br w:type="page"/>
      </w:r>
    </w:p>
    <w:p>
      <w:r>
        <w:br w:type="page"/>
      </w:r>
    </w:p>
    <w:bookmarkEnd w:id="38"/>
    <w:bookmarkStart w:id="39" w:name="waterloo-region-as-bellwether"/>
    <w:p>
      <w:pPr>
        <w:pStyle w:val="Heading1"/>
      </w:pPr>
      <w:r>
        <w:rPr>
          <w:rStyle w:val="SectionNumber"/>
        </w:rPr>
        <w:t xml:space="preserve">6</w:t>
      </w:r>
      <w:r>
        <w:tab/>
      </w:r>
      <w:r>
        <w:t xml:space="preserve">Waterloo Region As Bellwether</w:t>
      </w:r>
    </w:p>
    <w:p>
      <w:pPr>
        <w:pStyle w:val="FirstParagraph"/>
      </w:pPr>
      <w:r>
        <w:t xml:space="preserve">Table 6.1: Waterloo Region Ridings As Provincial Bellwether</w:t>
      </w:r>
    </w:p>
    <w:p>
      <w:pPr>
        <w:pStyle w:val="BodyText"/>
      </w:pPr>
      <w:r>
        <w:t xml:space="preserve">Year</w:t>
      </w:r>
    </w:p>
    <w:p>
      <w:pPr>
        <w:pStyle w:val="BodyText"/>
      </w:pPr>
      <w:r>
        <w:t xml:space="preserve"># Ridings</w:t>
      </w:r>
    </w:p>
    <w:p>
      <w:pPr>
        <w:pStyle w:val="BodyText"/>
      </w:pPr>
      <w:r>
        <w:t xml:space="preserve"># of Government MPPS</w:t>
      </w:r>
    </w:p>
    <w:p>
      <w:pPr>
        <w:pStyle w:val="BodyText"/>
      </w:pPr>
      <w:r>
        <w:t xml:space="preserve">Percent</w:t>
      </w:r>
    </w:p>
    <w:p>
      <w:pPr>
        <w:pStyle w:val="BodyText"/>
      </w:pPr>
      <w:r>
        <w:t xml:space="preserve">2003</w:t>
      </w:r>
    </w:p>
    <w:p>
      <w:pPr>
        <w:pStyle w:val="BodyText"/>
      </w:pPr>
      <w:r>
        <w:t xml:space="preserve">3</w:t>
      </w:r>
    </w:p>
    <w:p>
      <w:pPr>
        <w:pStyle w:val="BodyText"/>
      </w:pPr>
      <w:r>
        <w:t xml:space="preserve">1</w:t>
      </w:r>
    </w:p>
    <w:p>
      <w:pPr>
        <w:pStyle w:val="BodyText"/>
      </w:pPr>
      <w:r>
        <w:t xml:space="preserve">33</w:t>
      </w:r>
    </w:p>
    <w:p>
      <w:pPr>
        <w:pStyle w:val="BodyText"/>
      </w:pPr>
      <w:r>
        <w:t xml:space="preserve">2007</w:t>
      </w:r>
    </w:p>
    <w:p>
      <w:pPr>
        <w:pStyle w:val="BodyText"/>
      </w:pPr>
      <w:r>
        <w:t xml:space="preserve">4</w:t>
      </w:r>
    </w:p>
    <w:p>
      <w:pPr>
        <w:pStyle w:val="BodyText"/>
      </w:pPr>
      <w:r>
        <w:t xml:space="preserve">2</w:t>
      </w:r>
    </w:p>
    <w:p>
      <w:pPr>
        <w:pStyle w:val="BodyText"/>
      </w:pPr>
      <w:r>
        <w:t xml:space="preserve">50</w:t>
      </w:r>
    </w:p>
    <w:p>
      <w:pPr>
        <w:pStyle w:val="BodyText"/>
      </w:pPr>
      <w:r>
        <w:t xml:space="preserve">2011</w:t>
      </w:r>
    </w:p>
    <w:p>
      <w:pPr>
        <w:pStyle w:val="BodyText"/>
      </w:pPr>
      <w:r>
        <w:t xml:space="preserve">4</w:t>
      </w:r>
    </w:p>
    <w:p>
      <w:pPr>
        <w:pStyle w:val="BodyText"/>
      </w:pPr>
      <w:r>
        <w:t xml:space="preserve">2</w:t>
      </w:r>
    </w:p>
    <w:p>
      <w:pPr>
        <w:pStyle w:val="BodyText"/>
      </w:pPr>
      <w:r>
        <w:t xml:space="preserve">50</w:t>
      </w:r>
    </w:p>
    <w:p>
      <w:pPr>
        <w:pStyle w:val="BodyText"/>
      </w:pPr>
      <w:r>
        <w:t xml:space="preserve">2014</w:t>
      </w:r>
    </w:p>
    <w:p>
      <w:pPr>
        <w:pStyle w:val="BodyText"/>
      </w:pPr>
      <w:r>
        <w:t xml:space="preserve">4</w:t>
      </w:r>
    </w:p>
    <w:p>
      <w:pPr>
        <w:pStyle w:val="BodyText"/>
      </w:pPr>
      <w:r>
        <w:t xml:space="preserve">2</w:t>
      </w:r>
    </w:p>
    <w:p>
      <w:pPr>
        <w:pStyle w:val="BodyText"/>
      </w:pPr>
      <w:r>
        <w:t xml:space="preserve">50</w:t>
      </w:r>
    </w:p>
    <w:p>
      <w:pPr>
        <w:pStyle w:val="BodyText"/>
      </w:pPr>
      <w:r>
        <w:t xml:space="preserve">2018</w:t>
      </w:r>
    </w:p>
    <w:p>
      <w:pPr>
        <w:pStyle w:val="BodyText"/>
      </w:pPr>
      <w:r>
        <w:t xml:space="preserve">5</w:t>
      </w:r>
    </w:p>
    <w:p>
      <w:pPr>
        <w:pStyle w:val="BodyText"/>
      </w:pPr>
      <w:r>
        <w:t xml:space="preserve">3</w:t>
      </w:r>
    </w:p>
    <w:p>
      <w:pPr>
        <w:pStyle w:val="BodyText"/>
      </w:pPr>
      <w:r>
        <w:t xml:space="preserve">60</w:t>
      </w:r>
    </w:p>
    <w:p>
      <w:pPr>
        <w:pStyle w:val="BodyText"/>
      </w:pPr>
      <w:r>
        <w:t xml:space="preserve">Table 6.2: Waterloo Region Ridings As Federal Bellwether</w:t>
      </w:r>
    </w:p>
    <w:p>
      <w:pPr>
        <w:pStyle w:val="BodyText"/>
      </w:pPr>
      <w:r>
        <w:t xml:space="preserve">Year</w:t>
      </w:r>
    </w:p>
    <w:p>
      <w:pPr>
        <w:pStyle w:val="BodyText"/>
      </w:pPr>
      <w:r>
        <w:t xml:space="preserve"># Ridings</w:t>
      </w:r>
    </w:p>
    <w:p>
      <w:pPr>
        <w:pStyle w:val="BodyText"/>
      </w:pPr>
      <w:r>
        <w:t xml:space="preserve"># of Government MPPS</w:t>
      </w:r>
    </w:p>
    <w:p>
      <w:pPr>
        <w:pStyle w:val="BodyText"/>
      </w:pPr>
      <w:r>
        <w:t xml:space="preserve">Percent</w:t>
      </w:r>
    </w:p>
    <w:p>
      <w:pPr>
        <w:pStyle w:val="BodyText"/>
      </w:pPr>
      <w:r>
        <w:t xml:space="preserve">2004</w:t>
      </w:r>
    </w:p>
    <w:p>
      <w:pPr>
        <w:pStyle w:val="BodyText"/>
      </w:pPr>
      <w:r>
        <w:t xml:space="preserve">4</w:t>
      </w:r>
    </w:p>
    <w:p>
      <w:pPr>
        <w:pStyle w:val="BodyText"/>
      </w:pPr>
      <w:r>
        <w:t xml:space="preserve">3</w:t>
      </w:r>
    </w:p>
    <w:p>
      <w:pPr>
        <w:pStyle w:val="BodyText"/>
      </w:pPr>
      <w:r>
        <w:t xml:space="preserve">75</w:t>
      </w:r>
    </w:p>
    <w:p>
      <w:pPr>
        <w:pStyle w:val="BodyText"/>
      </w:pPr>
      <w:r>
        <w:t xml:space="preserve">2006</w:t>
      </w:r>
    </w:p>
    <w:p>
      <w:pPr>
        <w:pStyle w:val="BodyText"/>
      </w:pPr>
      <w:r>
        <w:t xml:space="preserve">4</w:t>
      </w:r>
    </w:p>
    <w:p>
      <w:pPr>
        <w:pStyle w:val="BodyText"/>
      </w:pPr>
      <w:r>
        <w:t xml:space="preserve">2</w:t>
      </w:r>
    </w:p>
    <w:p>
      <w:pPr>
        <w:pStyle w:val="BodyText"/>
      </w:pPr>
      <w:r>
        <w:t xml:space="preserve">50</w:t>
      </w:r>
    </w:p>
    <w:p>
      <w:pPr>
        <w:pStyle w:val="BodyText"/>
      </w:pPr>
      <w:r>
        <w:t xml:space="preserve">2008</w:t>
      </w:r>
    </w:p>
    <w:p>
      <w:pPr>
        <w:pStyle w:val="BodyText"/>
      </w:pPr>
      <w:r>
        <w:t xml:space="preserve">4</w:t>
      </w:r>
    </w:p>
    <w:p>
      <w:pPr>
        <w:pStyle w:val="BodyText"/>
      </w:pPr>
      <w:r>
        <w:t xml:space="preserve">4</w:t>
      </w:r>
    </w:p>
    <w:p>
      <w:pPr>
        <w:pStyle w:val="BodyText"/>
      </w:pPr>
      <w:r>
        <w:t xml:space="preserve">100</w:t>
      </w:r>
    </w:p>
    <w:p>
      <w:pPr>
        <w:pStyle w:val="BodyText"/>
      </w:pPr>
      <w:r>
        <w:t xml:space="preserve">2011</w:t>
      </w:r>
    </w:p>
    <w:p>
      <w:pPr>
        <w:pStyle w:val="BodyText"/>
      </w:pPr>
      <w:r>
        <w:t xml:space="preserve">5</w:t>
      </w:r>
    </w:p>
    <w:p>
      <w:pPr>
        <w:pStyle w:val="BodyText"/>
      </w:pPr>
      <w:r>
        <w:t xml:space="preserve">4</w:t>
      </w:r>
    </w:p>
    <w:p>
      <w:pPr>
        <w:pStyle w:val="BodyText"/>
      </w:pPr>
      <w:r>
        <w:t xml:space="preserve">80</w:t>
      </w:r>
    </w:p>
    <w:p>
      <w:pPr>
        <w:pStyle w:val="BodyText"/>
      </w:pPr>
      <w:r>
        <w:t xml:space="preserve">2015</w:t>
      </w:r>
    </w:p>
    <w:p>
      <w:pPr>
        <w:pStyle w:val="BodyText"/>
      </w:pPr>
      <w:r>
        <w:t xml:space="preserve">5</w:t>
      </w:r>
    </w:p>
    <w:p>
      <w:pPr>
        <w:pStyle w:val="BodyText"/>
      </w:pPr>
      <w:r>
        <w:t xml:space="preserve">5</w:t>
      </w:r>
    </w:p>
    <w:p>
      <w:pPr>
        <w:pStyle w:val="BodyText"/>
      </w:pPr>
      <w:r>
        <w:t xml:space="preserve">100</w:t>
      </w:r>
    </w:p>
    <w:p>
      <w:pPr>
        <w:pStyle w:val="BodyText"/>
      </w:pPr>
      <w:r>
        <w:t xml:space="preserve">2019</w:t>
      </w:r>
    </w:p>
    <w:p>
      <w:pPr>
        <w:pStyle w:val="BodyText"/>
      </w:pPr>
      <w:r>
        <w:t xml:space="preserve">5</w:t>
      </w:r>
    </w:p>
    <w:p>
      <w:pPr>
        <w:pStyle w:val="BodyText"/>
      </w:pPr>
      <w:r>
        <w:t xml:space="preserve">5</w:t>
      </w:r>
    </w:p>
    <w:p>
      <w:pPr>
        <w:pStyle w:val="BodyText"/>
      </w:pPr>
      <w:r>
        <w:t xml:space="preserve">100</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Laurier</w:t>
      </w:r>
      <w:r>
        <w:t xml:space="preserve"> </w:t>
      </w:r>
      <w:r>
        <w:t xml:space="preserve">Institute</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Public</w:t>
      </w:r>
      <w:r>
        <w:t xml:space="preserve"> </w:t>
      </w:r>
      <w:r>
        <w:t xml:space="preserve">Opinion</w:t>
      </w:r>
      <w:r>
        <w:t xml:space="preserve"> </w:t>
      </w:r>
      <w:r>
        <w:t xml:space="preserve">and</w:t>
      </w:r>
      <w:r>
        <w:t xml:space="preserve"> </w:t>
      </w:r>
      <w:r>
        <w:t xml:space="preserve">Policy,</w:t>
      </w:r>
      <w:r>
        <w:t xml:space="preserve"> </w:t>
      </w:r>
      <w:r>
        <w:t xml:space="preserve">Wilfrid</w:t>
      </w:r>
      <w:r>
        <w:t xml:space="preserve"> </w:t>
      </w:r>
      <w:r>
        <w:t xml:space="preserve">Laurier</w:t>
      </w:r>
      <w:r>
        <w:t xml:space="preserve"> </w:t>
      </w:r>
      <w:r>
        <w:t xml:space="preserve">University</w:t>
      </w:r>
    </w:p>
  </w:footnote>
  <w:footnote w:id="21">
    <w:p>
      <w:pPr>
        <w:pStyle w:val="FootnoteText"/>
      </w:pPr>
      <w:r>
        <w:rPr>
          <w:rStyle w:val="FootnoteReference"/>
        </w:rPr>
        <w:footnoteRef/>
      </w:r>
      <w:r>
        <w:t xml:space="preserve"> </w:t>
      </w:r>
      <w:r>
        <w:t xml:space="preserve">Laurier</w:t>
      </w:r>
      <w:r>
        <w:t xml:space="preserve"> </w:t>
      </w:r>
      <w:r>
        <w:t xml:space="preserve">Institute</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Public</w:t>
      </w:r>
      <w:r>
        <w:t xml:space="preserve"> </w:t>
      </w:r>
      <w:r>
        <w:t xml:space="preserve">Opinion</w:t>
      </w:r>
      <w:r>
        <w:t xml:space="preserve"> </w:t>
      </w:r>
      <w:r>
        <w:t xml:space="preserve">and</w:t>
      </w:r>
      <w:r>
        <w:t xml:space="preserve"> </w:t>
      </w:r>
      <w:r>
        <w:t xml:space="preserve">Policy,</w:t>
      </w:r>
      <w:r>
        <w:t xml:space="preserve"> </w:t>
      </w:r>
      <w:r>
        <w:t xml:space="preserve">Wilfrid</w:t>
      </w:r>
      <w:r>
        <w:t xml:space="preserve"> </w:t>
      </w:r>
      <w:r>
        <w:t xml:space="preserve">Laurier</w:t>
      </w:r>
      <w:r>
        <w:t xml:space="preserve"> </w:t>
      </w:r>
      <w:r>
        <w:t xml:space="preserve">University</w:t>
      </w:r>
    </w:p>
  </w:footnote>
  <w:footnote w:id="22">
    <w:p>
      <w:pPr>
        <w:pStyle w:val="FootnoteText"/>
      </w:pPr>
      <w:r>
        <w:rPr>
          <w:rStyle w:val="FootnoteReference"/>
        </w:rPr>
        <w:footnoteRef/>
      </w:r>
      <w:r>
        <w:t xml:space="preserve"> </w:t>
      </w:r>
      <w:r>
        <w:t xml:space="preserve">Laurier</w:t>
      </w:r>
      <w:r>
        <w:t xml:space="preserve"> </w:t>
      </w:r>
      <w:r>
        <w:t xml:space="preserve">Institute</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Public</w:t>
      </w:r>
      <w:r>
        <w:t xml:space="preserve"> </w:t>
      </w:r>
      <w:r>
        <w:t xml:space="preserve">Opinion</w:t>
      </w:r>
      <w:r>
        <w:t xml:space="preserve"> </w:t>
      </w:r>
      <w:r>
        <w:t xml:space="preserve">and</w:t>
      </w:r>
      <w:r>
        <w:t xml:space="preserve"> </w:t>
      </w:r>
      <w:r>
        <w:t xml:space="preserve">Policy,</w:t>
      </w:r>
      <w:r>
        <w:t xml:space="preserve"> </w:t>
      </w:r>
      <w:r>
        <w:t xml:space="preserve">Conestoga</w:t>
      </w:r>
      <w:r>
        <w:t xml:space="preserve"> </w:t>
      </w:r>
      <w:r>
        <w:t xml:space="preserve">College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Waterloo Region Vote Intention, Spring 2021</dc:title>
  <dc:creator>Simon Kiss; Andrea Perrella; Anthony Piscitelli</dc:creator>
  <cp:keywords/>
  <dcterms:created xsi:type="dcterms:W3CDTF">2021-07-06T18:16:43Z</dcterms:created>
  <dcterms:modified xsi:type="dcterms:W3CDTF">2021-07-06T18:16:43Z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05/05/2021</vt:lpwstr>
  </property>
  <property fmtid="{D5CDD505-2E9C-101B-9397-08002B2CF9AE}" pid="4" name="output">
    <vt:lpwstr/>
  </property>
  <property fmtid="{D5CDD505-2E9C-101B-9397-08002B2CF9AE}" pid="5" name="subtitle">
    <vt:lpwstr>DRAFT: Not for circulation or attribution</vt:lpwstr>
  </property>
</Properties>
</file>