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100" w:line="288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【</w:t>
      </w:r>
      <w:r>
        <w:rPr>
          <w:rFonts w:hint="eastAsia" w:ascii="宋体" w:hAnsi="宋体" w:eastAsia="宋体"/>
          <w:sz w:val="36"/>
          <w:szCs w:val="36"/>
          <w:lang w:eastAsia="zh-CN"/>
        </w:rPr>
        <w:t>翼受理</w:t>
      </w:r>
      <w:r>
        <w:rPr>
          <w:rFonts w:hint="eastAsia" w:ascii="宋体" w:hAnsi="宋体" w:eastAsia="宋体"/>
          <w:sz w:val="36"/>
          <w:szCs w:val="36"/>
        </w:rPr>
        <w:t>】</w:t>
      </w:r>
      <w:r>
        <w:rPr>
          <w:rFonts w:hint="eastAsia" w:ascii="宋体" w:hAnsi="宋体" w:eastAsia="宋体"/>
          <w:sz w:val="36"/>
          <w:szCs w:val="36"/>
          <w:lang w:val="en-US" w:eastAsia="zh-CN"/>
        </w:rPr>
        <w:t xml:space="preserve"> </w:t>
      </w:r>
      <w:r>
        <w:rPr>
          <w:rStyle w:val="7"/>
          <w:rFonts w:hint="eastAsia" w:ascii="宋体" w:hAnsi="宋体" w:eastAsia="宋体"/>
          <w:sz w:val="36"/>
          <w:szCs w:val="36"/>
        </w:rPr>
        <w:t>热门活动“续约赠礼”需</w:t>
      </w:r>
      <w:r>
        <w:rPr>
          <w:rStyle w:val="7"/>
          <w:rFonts w:hint="eastAsia" w:ascii="宋体" w:hAnsi="宋体" w:eastAsia="宋体"/>
          <w:sz w:val="36"/>
          <w:szCs w:val="36"/>
          <w:lang w:eastAsia="zh-CN"/>
        </w:rPr>
        <w:t>求</w:t>
      </w:r>
      <w:r>
        <w:rPr>
          <w:rStyle w:val="7"/>
          <w:rFonts w:hint="eastAsia" w:ascii="宋体" w:hAnsi="宋体" w:eastAsia="宋体"/>
          <w:sz w:val="36"/>
          <w:szCs w:val="36"/>
          <w:lang w:val="en-US" w:eastAsia="zh-CN"/>
        </w:rPr>
        <w:t>_</w:t>
      </w:r>
      <w:r>
        <w:rPr>
          <w:rFonts w:hint="eastAsia" w:ascii="宋体" w:hAnsi="宋体" w:eastAsia="宋体"/>
          <w:sz w:val="36"/>
          <w:szCs w:val="36"/>
        </w:rPr>
        <w:t>操作手册</w:t>
      </w:r>
    </w:p>
    <w:p>
      <w:pPr>
        <w:spacing w:beforeLines="100" w:line="288" w:lineRule="auto"/>
        <w:rPr>
          <w:rStyle w:val="7"/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bCs/>
          <w:sz w:val="24"/>
          <w:szCs w:val="24"/>
        </w:rPr>
        <w:t>作为</w:t>
      </w:r>
      <w:r>
        <w:rPr>
          <w:rFonts w:hint="eastAsia" w:ascii="宋体" w:hAnsi="宋体" w:eastAsia="宋体" w:cs="宋体"/>
          <w:bCs/>
          <w:sz w:val="24"/>
          <w:szCs w:val="24"/>
          <w:lang w:eastAsia="zh-CN"/>
        </w:rPr>
        <w:t>翼受理</w:t>
      </w:r>
      <w:r>
        <w:rPr>
          <w:rFonts w:hint="eastAsia" w:ascii="宋体" w:hAnsi="宋体" w:eastAsia="宋体" w:cs="宋体"/>
          <w:bCs/>
          <w:sz w:val="24"/>
          <w:szCs w:val="24"/>
        </w:rPr>
        <w:t>系统功能完善的一部分，企业信息化部新开发了</w:t>
      </w:r>
      <w:r>
        <w:rPr>
          <w:rStyle w:val="7"/>
          <w:rFonts w:hint="eastAsia" w:ascii="宋体" w:hAnsi="宋体" w:eastAsia="宋体"/>
          <w:sz w:val="24"/>
          <w:szCs w:val="24"/>
        </w:rPr>
        <w:t>关于</w:t>
      </w:r>
      <w:r>
        <w:rPr>
          <w:rStyle w:val="7"/>
          <w:rFonts w:hint="eastAsia" w:ascii="宋体" w:hAnsi="宋体" w:eastAsia="宋体"/>
          <w:sz w:val="24"/>
          <w:szCs w:val="24"/>
          <w:lang w:eastAsia="zh-CN"/>
        </w:rPr>
        <w:t>热门活动“续约赠礼”</w:t>
      </w:r>
      <w:r>
        <w:rPr>
          <w:rStyle w:val="7"/>
          <w:rFonts w:hint="eastAsia" w:ascii="宋体" w:hAnsi="宋体" w:eastAsia="宋体"/>
          <w:sz w:val="24"/>
          <w:szCs w:val="24"/>
        </w:rPr>
        <w:t>需求操作手册</w:t>
      </w:r>
    </w:p>
    <w:p>
      <w:pPr>
        <w:spacing w:beforeLines="100" w:line="288" w:lineRule="auto"/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ITSM编号：</w:t>
      </w:r>
      <w:r>
        <w:rPr>
          <w:rStyle w:val="7"/>
          <w:rFonts w:hint="eastAsia" w:ascii="宋体" w:hAnsi="宋体" w:eastAsia="宋体"/>
          <w:sz w:val="24"/>
          <w:szCs w:val="24"/>
        </w:rPr>
        <w:t>173668907</w:t>
      </w:r>
      <w:r>
        <w:rPr>
          <w:rFonts w:ascii="宋体" w:hAnsi="宋体" w:eastAsia="宋体"/>
          <w:sz w:val="24"/>
          <w:szCs w:val="24"/>
        </w:rPr>
        <w:t> </w:t>
      </w:r>
    </w:p>
    <w:p>
      <w:pPr>
        <w:spacing w:beforeLines="100" w:line="288" w:lineRule="auto"/>
        <w:outlineLvl w:val="0"/>
        <w:rPr>
          <w:rFonts w:hint="eastAsia"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具体要求、流程和注意事项说明如下：</w:t>
      </w:r>
    </w:p>
    <w:p>
      <w:pPr>
        <w:spacing w:beforeLines="100" w:line="288" w:lineRule="auto"/>
        <w:outlineLvl w:val="0"/>
        <w:rPr>
          <w:rFonts w:hint="eastAsia" w:ascii="宋体" w:hAnsi="宋体" w:eastAsia="宋体"/>
          <w:bCs/>
          <w:sz w:val="24"/>
          <w:szCs w:val="24"/>
          <w:lang w:eastAsia="zh-CN"/>
        </w:rPr>
      </w:pPr>
      <w:r>
        <w:rPr>
          <w:rFonts w:hint="eastAsia" w:ascii="宋体" w:hAnsi="宋体" w:eastAsia="宋体"/>
          <w:bCs/>
          <w:sz w:val="24"/>
          <w:szCs w:val="24"/>
          <w:lang w:eastAsia="zh-CN"/>
        </w:rPr>
        <w:t>一、续约赠礼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1.用一个客户，下面有一个设备号，有“续约赠200元翼支付金”标签</w:t>
      </w:r>
      <w:bookmarkStart w:id="0" w:name="_GoBack"/>
      <w:bookmarkEnd w:id="0"/>
      <w:r>
        <w:rPr>
          <w:rFonts w:hint="eastAsia" w:ascii="宋体" w:hAnsi="宋体" w:eastAsia="宋体" w:cs="宋体"/>
          <w:lang w:val="en-US" w:eastAsia="zh-CN"/>
        </w:rPr>
        <w:t>，对应的主套餐下有活动的【活动类】终补促销，没有活动的促销5（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201412全家享新融合促销活动，协议期12个月</w:t>
      </w:r>
      <w:r>
        <w:rPr>
          <w:rFonts w:hint="eastAsia" w:ascii="宋体" w:hAnsi="宋体" w:eastAsia="宋体" w:cs="宋体"/>
          <w:lang w:val="en-US" w:eastAsia="zh-CN"/>
        </w:rPr>
        <w:t>），有【翼支付基础产品】，定位进入新版翼受理</w:t>
      </w:r>
    </w:p>
    <w:p>
      <w:pPr>
        <w:spacing w:beforeLines="100" w:line="288" w:lineRule="auto"/>
        <w:jc w:val="both"/>
        <w:outlineLvl w:val="0"/>
      </w:pPr>
      <w:r>
        <w:drawing>
          <wp:inline distT="0" distB="0" distL="114300" distR="114300">
            <wp:extent cx="5273675" cy="2208530"/>
            <wp:effectExtent l="0" t="0" r="3175" b="12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100" w:line="288" w:lineRule="auto"/>
        <w:jc w:val="both"/>
        <w:outlineLvl w:val="0"/>
      </w:pPr>
      <w:r>
        <w:drawing>
          <wp:inline distT="0" distB="0" distL="114300" distR="114300">
            <wp:extent cx="5274310" cy="2138680"/>
            <wp:effectExtent l="0" t="0" r="2540" b="13970"/>
            <wp:docPr id="612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2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100" w:line="288" w:lineRule="auto"/>
        <w:jc w:val="both"/>
        <w:outlineLvl w:val="0"/>
        <w:rPr>
          <w:rFonts w:hint="eastAsia" w:eastAsia="微软雅黑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2.选择【续约赠礼】业务类型</w:t>
      </w:r>
    </w:p>
    <w:p>
      <w:pPr>
        <w:numPr>
          <w:ilvl w:val="0"/>
          <w:numId w:val="0"/>
        </w:numPr>
        <w:spacing w:beforeLines="100" w:line="288" w:lineRule="auto"/>
        <w:jc w:val="both"/>
        <w:outlineLvl w:val="0"/>
        <w:rPr>
          <w:rFonts w:hint="eastAsia" w:ascii="宋体" w:hAnsi="宋体" w:eastAsia="宋体"/>
          <w:bCs/>
          <w:sz w:val="24"/>
          <w:szCs w:val="24"/>
          <w:lang w:val="en-US" w:eastAsia="zh-CN"/>
        </w:rPr>
      </w:pPr>
    </w:p>
    <w:p>
      <w:pPr>
        <w:spacing w:beforeLines="100" w:line="288" w:lineRule="auto"/>
        <w:jc w:val="both"/>
        <w:outlineLvl w:val="0"/>
      </w:pPr>
      <w:r>
        <w:drawing>
          <wp:inline distT="0" distB="0" distL="114300" distR="114300">
            <wp:extent cx="5274310" cy="2217420"/>
            <wp:effectExtent l="0" t="0" r="2540" b="11430"/>
            <wp:docPr id="612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3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Lines="100" w:line="288" w:lineRule="auto"/>
        <w:jc w:val="both"/>
        <w:outlineLvl w:val="0"/>
        <w:rPr>
          <w:rFonts w:hint="eastAsia" w:ascii="宋体" w:hAnsi="宋体" w:eastAsia="宋体" w:cs="宋体"/>
          <w:sz w:val="22"/>
          <w:szCs w:val="22"/>
          <w:lang w:eastAsia="zh-CN"/>
        </w:rPr>
      </w:pPr>
      <w:r>
        <w:rPr>
          <w:rFonts w:hint="eastAsia" w:ascii="宋体" w:hAnsi="宋体" w:eastAsia="宋体" w:cs="宋体"/>
          <w:color w:val="222222"/>
          <w:sz w:val="22"/>
          <w:szCs w:val="22"/>
        </w:rPr>
        <w:t>此时【经办人】界面默认选中“</w:t>
      </w:r>
      <w:r>
        <w:rPr>
          <w:rFonts w:hint="eastAsia" w:ascii="宋体" w:hAnsi="宋体" w:eastAsia="宋体" w:cs="宋体"/>
          <w:sz w:val="22"/>
          <w:szCs w:val="22"/>
        </w:rPr>
        <w:t>经办人”，正常进行读卡操作；然后点击下一步，跳转到【选择设备】界面</w:t>
      </w:r>
      <w:r>
        <w:rPr>
          <w:rFonts w:hint="eastAsia" w:ascii="宋体" w:hAnsi="宋体" w:eastAsia="宋体" w:cs="宋体"/>
          <w:sz w:val="22"/>
          <w:szCs w:val="22"/>
          <w:lang w:eastAsia="zh-CN"/>
        </w:rPr>
        <w:t>，选中上面的设备号</w:t>
      </w:r>
    </w:p>
    <w:p>
      <w:pPr>
        <w:spacing w:beforeLines="100" w:line="288" w:lineRule="auto"/>
        <w:jc w:val="both"/>
        <w:outlineLvl w:val="0"/>
      </w:pPr>
      <w:r>
        <w:drawing>
          <wp:inline distT="0" distB="0" distL="114300" distR="114300">
            <wp:extent cx="5274310" cy="2270760"/>
            <wp:effectExtent l="0" t="0" r="2540" b="15240"/>
            <wp:docPr id="612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5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100" w:line="288" w:lineRule="auto"/>
        <w:jc w:val="both"/>
        <w:outlineLvl w:val="0"/>
      </w:pPr>
      <w:r>
        <w:drawing>
          <wp:inline distT="0" distB="0" distL="114300" distR="114300">
            <wp:extent cx="5274310" cy="2284095"/>
            <wp:effectExtent l="0" t="0" r="2540" b="1905"/>
            <wp:docPr id="612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7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Lines="100" w:line="288" w:lineRule="auto"/>
        <w:jc w:val="both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点击下一步，跳转到业务信息界面</w:t>
      </w:r>
    </w:p>
    <w:p>
      <w:pPr>
        <w:numPr>
          <w:ilvl w:val="0"/>
          <w:numId w:val="0"/>
        </w:numPr>
        <w:spacing w:beforeLines="100" w:line="288" w:lineRule="auto"/>
        <w:jc w:val="both"/>
        <w:outlineLvl w:val="0"/>
        <w:rPr>
          <w:rFonts w:hint="eastAsia" w:ascii="宋体" w:hAnsi="宋体" w:eastAsia="宋体" w:cs="宋体"/>
          <w:lang w:val="en-US" w:eastAsia="zh-CN"/>
        </w:rPr>
      </w:pPr>
    </w:p>
    <w:p>
      <w:pPr>
        <w:spacing w:beforeLines="100" w:line="288" w:lineRule="auto"/>
        <w:jc w:val="both"/>
        <w:outlineLvl w:val="0"/>
      </w:pPr>
      <w:r>
        <w:drawing>
          <wp:inline distT="0" distB="0" distL="114300" distR="114300">
            <wp:extent cx="5274310" cy="2280920"/>
            <wp:effectExtent l="0" t="0" r="2540" b="5080"/>
            <wp:docPr id="612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9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100" w:line="288" w:lineRule="auto"/>
        <w:jc w:val="both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5.点击下一步，跳转到其他信息界面，可更改客户联系电话，促销工号，注释</w:t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ascii="宋体" w:hAnsi="宋体" w:eastAsia="宋体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2139950"/>
            <wp:effectExtent l="0" t="0" r="2540" b="12700"/>
            <wp:docPr id="612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4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点击确定，进行预校验，校验成功，点掉提示框，进入二次确认界面</w:t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74310" cy="2281555"/>
            <wp:effectExtent l="0" t="0" r="2540" b="4445"/>
            <wp:docPr id="6125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7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</w:pP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eastAsia="微软雅黑"/>
          <w:lang w:val="en-US" w:eastAsia="zh-CN"/>
        </w:rPr>
      </w:pPr>
      <w:r>
        <w:drawing>
          <wp:inline distT="0" distB="0" distL="114300" distR="114300">
            <wp:extent cx="5274310" cy="2317750"/>
            <wp:effectExtent l="0" t="0" r="2540" b="6350"/>
            <wp:docPr id="6125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9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2172970"/>
            <wp:effectExtent l="0" t="0" r="2540" b="17780"/>
            <wp:docPr id="6126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0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点击确定，跳转到费用信息界面，选择下单按钮，生成流水号</w:t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74310" cy="2117725"/>
            <wp:effectExtent l="0" t="0" r="2540" b="15875"/>
            <wp:docPr id="6127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5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</w:pPr>
      <w:r>
        <w:drawing>
          <wp:inline distT="0" distB="0" distL="114300" distR="114300">
            <wp:extent cx="5274310" cy="1939925"/>
            <wp:effectExtent l="0" t="0" r="2540" b="3175"/>
            <wp:docPr id="6127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7" name="图片 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此时到CRM查看甩单日志，返回41，有订单生成</w:t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</w:pPr>
      <w:r>
        <w:drawing>
          <wp:inline distT="0" distB="0" distL="114300" distR="114300">
            <wp:extent cx="5274310" cy="1012190"/>
            <wp:effectExtent l="0" t="0" r="2540" b="16510"/>
            <wp:docPr id="6127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8" name="图片 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订单正常完工，生成资产</w:t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5420" cy="1805940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beforeLines="100" w:after="200" w:line="288" w:lineRule="auto"/>
        <w:jc w:val="both"/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957070"/>
            <wp:effectExtent l="0" t="0" r="1143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100" w:line="288" w:lineRule="auto"/>
        <w:jc w:val="both"/>
        <w:outlineLvl w:val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关键字：</w:t>
      </w:r>
      <w:r>
        <w:rPr>
          <w:rFonts w:hint="eastAsia" w:ascii="宋体" w:hAnsi="宋体" w:eastAsia="宋体"/>
          <w:sz w:val="24"/>
          <w:szCs w:val="24"/>
          <w:lang w:eastAsia="zh-CN"/>
        </w:rPr>
        <w:t>续约赠礼</w:t>
      </w:r>
    </w:p>
    <w:p>
      <w:pPr>
        <w:spacing w:beforeLines="100" w:line="288" w:lineRule="auto"/>
        <w:jc w:val="right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企业信息化部</w:t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bodoni 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DB3D4"/>
    <w:multiLevelType w:val="singleLevel"/>
    <w:tmpl w:val="58FDB3D4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8FDB4C6"/>
    <w:multiLevelType w:val="singleLevel"/>
    <w:tmpl w:val="58FDB4C6"/>
    <w:lvl w:ilvl="0" w:tentative="0">
      <w:start w:val="6"/>
      <w:numFmt w:val="decimal"/>
      <w:suff w:val="nothing"/>
      <w:lvlText w:val="%1."/>
      <w:lvlJc w:val="left"/>
    </w:lvl>
  </w:abstractNum>
  <w:abstractNum w:abstractNumId="2">
    <w:nsid w:val="58FDB77D"/>
    <w:multiLevelType w:val="singleLevel"/>
    <w:tmpl w:val="58FDB77D"/>
    <w:lvl w:ilvl="0" w:tentative="0">
      <w:start w:val="7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56E57"/>
    <w:rsid w:val="00064332"/>
    <w:rsid w:val="002B7E92"/>
    <w:rsid w:val="00323B43"/>
    <w:rsid w:val="0034497D"/>
    <w:rsid w:val="00354231"/>
    <w:rsid w:val="00367317"/>
    <w:rsid w:val="003A1A88"/>
    <w:rsid w:val="003D37D8"/>
    <w:rsid w:val="00426133"/>
    <w:rsid w:val="004358AB"/>
    <w:rsid w:val="00576F58"/>
    <w:rsid w:val="006301DD"/>
    <w:rsid w:val="0063734C"/>
    <w:rsid w:val="00781704"/>
    <w:rsid w:val="008B7726"/>
    <w:rsid w:val="00B04BED"/>
    <w:rsid w:val="00BA6648"/>
    <w:rsid w:val="00C34A74"/>
    <w:rsid w:val="00CD2082"/>
    <w:rsid w:val="00D20776"/>
    <w:rsid w:val="00D31D50"/>
    <w:rsid w:val="00F07127"/>
    <w:rsid w:val="06D806A7"/>
    <w:rsid w:val="16A1480B"/>
    <w:rsid w:val="16CF3F0E"/>
    <w:rsid w:val="1796319E"/>
    <w:rsid w:val="186674FD"/>
    <w:rsid w:val="1DE378CC"/>
    <w:rsid w:val="23447A95"/>
    <w:rsid w:val="2FEF0F10"/>
    <w:rsid w:val="46A121E9"/>
    <w:rsid w:val="4CE82B5A"/>
    <w:rsid w:val="58082C3F"/>
    <w:rsid w:val="6CBB2C47"/>
    <w:rsid w:val="6CD5702E"/>
    <w:rsid w:val="722505CD"/>
    <w:rsid w:val="73CC1C03"/>
    <w:rsid w:val="743425E7"/>
    <w:rsid w:val="751A662F"/>
    <w:rsid w:val="758F217B"/>
    <w:rsid w:val="7C0552BF"/>
    <w:rsid w:val="7D50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pPr>
      <w:spacing w:after="0"/>
    </w:pPr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7">
    <w:name w:val="resource-title"/>
    <w:basedOn w:val="5"/>
    <w:qFormat/>
    <w:uiPriority w:val="0"/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批注框文本 Char"/>
    <w:basedOn w:val="5"/>
    <w:link w:val="2"/>
    <w:semiHidden/>
    <w:qFormat/>
    <w:uiPriority w:val="99"/>
    <w:rPr>
      <w:rFonts w:ascii="Tahoma" w:hAnsi="Tahoma"/>
      <w:sz w:val="18"/>
      <w:szCs w:val="18"/>
    </w:rPr>
  </w:style>
  <w:style w:type="character" w:customStyle="1" w:styleId="10">
    <w:name w:val="页眉 Char"/>
    <w:basedOn w:val="5"/>
    <w:link w:val="4"/>
    <w:semiHidden/>
    <w:qFormat/>
    <w:uiPriority w:val="99"/>
    <w:rPr>
      <w:rFonts w:ascii="Tahoma" w:hAnsi="Tahoma"/>
      <w:sz w:val="18"/>
      <w:szCs w:val="18"/>
    </w:rPr>
  </w:style>
  <w:style w:type="character" w:customStyle="1" w:styleId="11">
    <w:name w:val="页脚 Char"/>
    <w:basedOn w:val="5"/>
    <w:link w:val="3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49</Words>
  <Characters>283</Characters>
  <Lines>2</Lines>
  <Paragraphs>1</Paragraphs>
  <ScaleCrop>false</ScaleCrop>
  <LinksUpToDate>false</LinksUpToDate>
  <CharactersWithSpaces>331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2017-04-24T08:35:09Z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