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固网故障首次响应及时率</w:t>
      </w:r>
    </w:p>
    <w:p>
      <w:pPr>
        <w:pStyle w:val="2"/>
        <w:numPr>
          <w:ilvl w:val="0"/>
          <w:numId w:val="2"/>
        </w:numPr>
      </w:pPr>
      <w:r>
        <w:t>涉及场景及业务规则</w:t>
      </w:r>
    </w:p>
    <w:p>
      <w:pPr>
        <w:pStyle w:val="32"/>
        <w:ind w:firstLine="0" w:firstLineChars="0"/>
      </w:pPr>
      <w:r>
        <w:rPr>
          <w:rFonts w:hint="eastAsia"/>
        </w:rPr>
        <w:t>固网故障首次响应及时率</w:t>
      </w:r>
    </w:p>
    <w:p>
      <w:pPr>
        <w:pStyle w:val="32"/>
        <w:numPr>
          <w:ilvl w:val="0"/>
          <w:numId w:val="3"/>
        </w:numPr>
        <w:ind w:firstLineChars="0"/>
      </w:pPr>
      <w:r>
        <w:rPr>
          <w:rFonts w:hint="eastAsia"/>
        </w:rPr>
        <w:t>定义：统计期内，对固网故障派单后的首次响应（短信通知）及时率。</w:t>
      </w:r>
    </w:p>
    <w:p>
      <w:pPr>
        <w:pStyle w:val="32"/>
        <w:numPr>
          <w:ilvl w:val="0"/>
          <w:numId w:val="3"/>
        </w:numPr>
        <w:ind w:firstLineChars="0"/>
      </w:pPr>
      <w:r>
        <w:rPr>
          <w:rFonts w:hint="eastAsia"/>
        </w:rPr>
        <w:t>计算规则：</w:t>
      </w:r>
    </w:p>
    <w:p>
      <w:pPr>
        <w:ind w:firstLine="480"/>
      </w:pPr>
      <w:r>
        <w:rPr>
          <w:rFonts w:hint="eastAsia"/>
        </w:rPr>
        <w:t>规定时限内（公客2小时，政企1小时）首次响应的派单工单数/所有派单工单数</w:t>
      </w:r>
      <w:r>
        <w:t>* 100%</w:t>
      </w:r>
    </w:p>
    <w:p>
      <w:pPr>
        <w:ind w:firstLine="480"/>
      </w:pPr>
      <w:r>
        <w:rPr>
          <w:rFonts w:hint="eastAsia"/>
        </w:rPr>
        <w:t>管控</w:t>
      </w:r>
      <w:r>
        <w:t>值：</w:t>
      </w:r>
      <w:r>
        <w:rPr>
          <w:rFonts w:hint="eastAsia"/>
        </w:rPr>
        <w:t>&gt;=75</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ind w:firstLine="480"/>
      </w:pPr>
      <w:r>
        <w:rPr>
          <w:rFonts w:hint="eastAsia"/>
        </w:rPr>
        <w:t>3、分公客和政企2个子指标</w:t>
      </w:r>
    </w:p>
    <w:p>
      <w:pPr>
        <w:ind w:firstLine="480"/>
      </w:pPr>
      <w:r>
        <w:rPr>
          <w:rFonts w:hint="eastAsia"/>
        </w:rPr>
        <w:t>4、支持按产品维度统计</w:t>
      </w:r>
    </w:p>
    <w:p>
      <w:pPr>
        <w:ind w:firstLine="480"/>
      </w:pPr>
      <w:r>
        <w:rPr>
          <w:rFonts w:hint="eastAsia"/>
        </w:rPr>
        <w:t>5、总指标按加权平均统计。</w:t>
      </w:r>
    </w:p>
    <w:p>
      <w:pPr>
        <w:pStyle w:val="2"/>
        <w:numPr>
          <w:ilvl w:val="0"/>
          <w:numId w:val="2"/>
        </w:numPr>
      </w:pPr>
      <w:r>
        <w:t>数据采集说明</w:t>
      </w:r>
    </w:p>
    <w:p>
      <w:pPr>
        <w:pStyle w:val="32"/>
        <w:ind w:firstLine="0" w:firstLineChars="0"/>
      </w:pPr>
      <w:r>
        <w:rPr>
          <w:rFonts w:hint="eastAsia"/>
          <w:szCs w:val="24"/>
        </w:rPr>
        <w:t>固网故障首次响应及时率</w:t>
      </w:r>
    </w:p>
    <w:p>
      <w:pPr>
        <w:pStyle w:val="32"/>
        <w:numPr>
          <w:ilvl w:val="0"/>
          <w:numId w:val="3"/>
        </w:numPr>
        <w:ind w:firstLineChars="0"/>
        <w:rPr>
          <w:color w:val="C00000"/>
        </w:rPr>
      </w:pPr>
      <w:r>
        <w:rPr>
          <w:rFonts w:hint="eastAsia"/>
        </w:rPr>
        <w:t>采集频率：</w:t>
      </w:r>
      <w:r>
        <w:rPr>
          <w:rFonts w:hint="eastAsia"/>
          <w:lang w:val="en-US" w:eastAsia="zh-CN"/>
        </w:rPr>
        <w:t>按天</w:t>
      </w:r>
    </w:p>
    <w:p>
      <w:pPr>
        <w:pStyle w:val="32"/>
        <w:numPr>
          <w:ilvl w:val="0"/>
          <w:numId w:val="3"/>
        </w:numPr>
        <w:ind w:firstLineChars="0"/>
        <w:rPr>
          <w:rFonts w:hint="eastAsia"/>
        </w:rPr>
      </w:pPr>
      <w:r>
        <w:rPr>
          <w:rFonts w:hint="eastAsia"/>
        </w:rPr>
        <w:t>每日2点上传文件</w:t>
      </w:r>
    </w:p>
    <w:p>
      <w:pPr>
        <w:pStyle w:val="32"/>
        <w:numPr>
          <w:ilvl w:val="0"/>
          <w:numId w:val="3"/>
        </w:numPr>
        <w:ind w:firstLineChars="0"/>
        <w:rPr>
          <w:rFonts w:hint="eastAsia"/>
        </w:rPr>
      </w:pPr>
      <w:r>
        <w:rPr>
          <w:rFonts w:hint="eastAsia"/>
        </w:rPr>
        <w:t>首次响应及时= “创建时间”到“首次响应时间”，公客小于2小时，政企小于1小时的工单数</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left="0" w:leftChars="0" w:firstLine="0" w:firstLineChars="0"/>
              <w:jc w:val="center"/>
              <w:rPr>
                <w:rFonts w:hint="eastAsia" w:ascii="宋体" w:hAnsi="宋体" w:cs="宋体"/>
                <w:color w:val="000000"/>
                <w:kern w:val="0"/>
                <w:sz w:val="21"/>
                <w:szCs w:val="21"/>
              </w:rPr>
            </w:pPr>
          </w:p>
          <w:p>
            <w:pPr>
              <w:widowControl/>
              <w:spacing w:line="240" w:lineRule="auto"/>
              <w:ind w:left="0" w:leftChars="0" w:firstLine="0" w:firstLineChars="0"/>
              <w:jc w:val="center"/>
              <w:rPr>
                <w:rFonts w:hint="eastAsia" w:ascii="宋体" w:hAnsi="宋体" w:cs="宋体"/>
                <w:color w:val="000000"/>
                <w:kern w:val="0"/>
                <w:sz w:val="21"/>
                <w:szCs w:val="21"/>
              </w:rPr>
            </w:pPr>
          </w:p>
          <w:p>
            <w:pPr>
              <w:widowControl/>
              <w:spacing w:line="240" w:lineRule="auto"/>
              <w:ind w:left="0" w:leftChars="0"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是</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vAlign w:val="top"/>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WARNING_EQ_NUM</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rPr>
            </w:pPr>
            <w:r>
              <w:rPr>
                <w:rFonts w:hint="eastAsia" w:ascii="宋体" w:hAnsi="宋体" w:cs="宋体"/>
                <w:color w:val="000000"/>
                <w:kern w:val="0"/>
                <w:sz w:val="21"/>
                <w:szCs w:val="21"/>
              </w:rPr>
              <w:t>报障设备号</w:t>
            </w:r>
          </w:p>
        </w:tc>
        <w:tc>
          <w:tcPr>
            <w:tcW w:w="1559" w:type="dxa"/>
            <w:vAlign w:val="top"/>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vAlign w:val="top"/>
          </w:tcPr>
          <w:p>
            <w:pPr>
              <w:widowControl/>
              <w:spacing w:line="240" w:lineRule="auto"/>
              <w:ind w:firstLine="0" w:firstLineChars="0"/>
              <w:jc w:val="center"/>
              <w:rPr>
                <w:rFonts w:ascii="宋体" w:hAnsi="宋体" w:cs="宋体"/>
                <w:color w:val="000000"/>
                <w:kern w:val="0"/>
                <w:sz w:val="21"/>
                <w:szCs w:val="21"/>
              </w:rPr>
            </w:pPr>
          </w:p>
        </w:tc>
        <w:tc>
          <w:tcPr>
            <w:tcW w:w="708" w:type="dxa"/>
            <w:vAlign w:val="top"/>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vAlign w:val="top"/>
          </w:tcPr>
          <w:p>
            <w:pPr>
              <w:widowControl/>
              <w:spacing w:line="240" w:lineRule="auto"/>
              <w:ind w:firstLine="0" w:firstLineChars="0"/>
              <w:jc w:val="left"/>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固话</w:t>
            </w:r>
          </w:p>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RESPOND_TIME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highlight w:val="yellow"/>
              </w:rPr>
              <w:t>首次响应时间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待改造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REVERT</w:t>
            </w:r>
            <w:r>
              <w:rPr>
                <w:rFonts w:ascii="宋体" w:hAnsi="宋体" w:cs="宋体"/>
                <w:color w:val="000000"/>
                <w:kern w:val="0"/>
                <w:sz w:val="21"/>
                <w:szCs w:val="21"/>
              </w:rPr>
              <w:t>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EQ_AREA_CODE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highlight w:val="yellow"/>
                <w:lang w:val="en-US" w:eastAsia="zh-CN"/>
              </w:rPr>
              <w:t>设备</w:t>
            </w:r>
            <w:r>
              <w:rPr>
                <w:rFonts w:hint="eastAsia" w:ascii="宋体" w:hAnsi="宋体" w:cs="宋体"/>
                <w:color w:val="000000"/>
                <w:kern w:val="0"/>
                <w:sz w:val="21"/>
                <w:szCs w:val="21"/>
                <w:highlight w:val="yellow"/>
              </w:rPr>
              <w:t>所属区局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不考核区局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w:t>
            </w:r>
            <w:bookmarkStart w:id="25" w:name="_GoBack"/>
            <w:bookmarkEnd w:id="25"/>
            <w:r>
              <w:rPr>
                <w:rFonts w:ascii="宋体" w:hAnsi="宋体" w:cs="宋体"/>
                <w:color w:val="000000"/>
                <w:kern w:val="0"/>
                <w:sz w:val="21"/>
                <w:szCs w:val="21"/>
              </w:rPr>
              <w:t>OVER_TIME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highlight w:val="yellow"/>
              </w:rPr>
              <w:t>是否及时响应</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bl>
    <w:p>
      <w:pPr>
        <w:ind w:firstLine="0" w:firstLineChars="0"/>
        <w:rPr>
          <w:color w:val="C00000"/>
        </w:rPr>
      </w:pPr>
    </w:p>
    <w:p>
      <w:pPr>
        <w:pStyle w:val="2"/>
        <w:numPr>
          <w:ilvl w:val="0"/>
          <w:numId w:val="2"/>
        </w:numPr>
      </w:pPr>
      <w:r>
        <w:t>接口形式</w:t>
      </w:r>
    </w:p>
    <w:p>
      <w:pPr>
        <w:ind w:firstLine="480"/>
        <w:rPr>
          <w:rFonts w:hint="eastAsia" w:eastAsia="宋体"/>
          <w:highlight w:val="yellow"/>
          <w:lang w:val="en-US" w:eastAsia="zh-CN"/>
        </w:rPr>
      </w:pPr>
      <w:r>
        <w:rPr>
          <w:rFonts w:hint="eastAsia"/>
          <w:highlight w:val="yellow"/>
          <w:lang w:val="en-US" w:eastAsia="zh-CN"/>
        </w:rPr>
        <w:t>FTP</w:t>
      </w:r>
    </w:p>
    <w:p>
      <w:pPr>
        <w:pStyle w:val="2"/>
        <w:numPr>
          <w:ilvl w:val="0"/>
          <w:numId w:val="2"/>
        </w:numPr>
      </w:pPr>
      <w:r>
        <w:t>环境说明</w:t>
      </w:r>
    </w:p>
    <w:p>
      <w:pPr>
        <w:ind w:firstLine="440"/>
        <w:rPr>
          <w:rFonts w:ascii="等线" w:hAnsi="等线" w:eastAsia="等线" w:cs="等线"/>
          <w:color w:val="000000"/>
          <w:kern w:val="0"/>
          <w:sz w:val="22"/>
          <w:highlight w:val="yellow"/>
          <w:lang w:bidi="ar"/>
        </w:rPr>
      </w:pPr>
      <w:r>
        <w:rPr>
          <w:rFonts w:hint="eastAsia" w:ascii="等线" w:hAnsi="等线" w:eastAsia="等线" w:cs="等线"/>
          <w:color w:val="000000"/>
          <w:kern w:val="0"/>
          <w:sz w:val="22"/>
          <w:highlight w:val="yellow"/>
          <w:lang w:bidi="ar"/>
        </w:rPr>
        <w:t>ftp：</w:t>
      </w:r>
      <w:r>
        <w:rPr>
          <w:rFonts w:ascii="等线" w:hAnsi="等线" w:eastAsia="等线" w:cs="等线"/>
          <w:color w:val="000000"/>
          <w:kern w:val="0"/>
          <w:sz w:val="22"/>
          <w:highlight w:val="yellow"/>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7188313"/>
      <w:bookmarkStart w:id="1" w:name="_Toc481062763"/>
      <w:bookmarkStart w:id="2" w:name="_Toc480930177"/>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7188316"/>
      <w:bookmarkStart w:id="9" w:name="_Toc481062766"/>
      <w:bookmarkStart w:id="10" w:name="_Toc361170946"/>
      <w:bookmarkStart w:id="11" w:name="_Toc307820691"/>
      <w:bookmarkStart w:id="12" w:name="_Toc363736387"/>
      <w:bookmarkStart w:id="13" w:name="_Toc373933261"/>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1062767"/>
      <w:bookmarkStart w:id="15" w:name="_Toc48718831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1062769"/>
      <w:bookmarkStart w:id="18" w:name="_Toc48718831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7188320"/>
      <w:bookmarkStart w:id="20" w:name="_Toc48106277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1062771"/>
      <w:bookmarkStart w:id="22" w:name="_Toc48718832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509FC"/>
    <w:rsid w:val="00076DFE"/>
    <w:rsid w:val="00077649"/>
    <w:rsid w:val="00081884"/>
    <w:rsid w:val="000F3DCF"/>
    <w:rsid w:val="00172A27"/>
    <w:rsid w:val="00194F20"/>
    <w:rsid w:val="001A7FCA"/>
    <w:rsid w:val="001E144E"/>
    <w:rsid w:val="0021623B"/>
    <w:rsid w:val="00247909"/>
    <w:rsid w:val="00266C84"/>
    <w:rsid w:val="0029733E"/>
    <w:rsid w:val="002B6C0E"/>
    <w:rsid w:val="002D3A33"/>
    <w:rsid w:val="002F586A"/>
    <w:rsid w:val="003422DF"/>
    <w:rsid w:val="00360E2A"/>
    <w:rsid w:val="00384019"/>
    <w:rsid w:val="004579B1"/>
    <w:rsid w:val="004C161E"/>
    <w:rsid w:val="004C7BFC"/>
    <w:rsid w:val="004E6AD5"/>
    <w:rsid w:val="00503CC9"/>
    <w:rsid w:val="005870F4"/>
    <w:rsid w:val="005A12A3"/>
    <w:rsid w:val="005F23E2"/>
    <w:rsid w:val="0062218E"/>
    <w:rsid w:val="00665F4B"/>
    <w:rsid w:val="006D7246"/>
    <w:rsid w:val="0071373F"/>
    <w:rsid w:val="007A4F39"/>
    <w:rsid w:val="007D06FB"/>
    <w:rsid w:val="008648FF"/>
    <w:rsid w:val="008D7FC2"/>
    <w:rsid w:val="00911F34"/>
    <w:rsid w:val="00945C42"/>
    <w:rsid w:val="0096051E"/>
    <w:rsid w:val="009754D2"/>
    <w:rsid w:val="0099361B"/>
    <w:rsid w:val="00A018E1"/>
    <w:rsid w:val="00A51911"/>
    <w:rsid w:val="00AE11D7"/>
    <w:rsid w:val="00B907CD"/>
    <w:rsid w:val="00B90874"/>
    <w:rsid w:val="00BC1401"/>
    <w:rsid w:val="00BC4D64"/>
    <w:rsid w:val="00BC6D65"/>
    <w:rsid w:val="00BF1D83"/>
    <w:rsid w:val="00C0362C"/>
    <w:rsid w:val="00D50B89"/>
    <w:rsid w:val="00DB1FE5"/>
    <w:rsid w:val="00DF3CF4"/>
    <w:rsid w:val="00E214A2"/>
    <w:rsid w:val="00E91972"/>
    <w:rsid w:val="00EB3FBC"/>
    <w:rsid w:val="00F02D04"/>
    <w:rsid w:val="00F078CD"/>
    <w:rsid w:val="00F10320"/>
    <w:rsid w:val="00F41ED7"/>
    <w:rsid w:val="00FF409E"/>
    <w:rsid w:val="01456BF8"/>
    <w:rsid w:val="02B71717"/>
    <w:rsid w:val="05F051CA"/>
    <w:rsid w:val="0D575033"/>
    <w:rsid w:val="0DF13A32"/>
    <w:rsid w:val="0F0B2FEF"/>
    <w:rsid w:val="150617BE"/>
    <w:rsid w:val="18A929B2"/>
    <w:rsid w:val="1A731FC8"/>
    <w:rsid w:val="1BEF1683"/>
    <w:rsid w:val="1C893F59"/>
    <w:rsid w:val="20F534C6"/>
    <w:rsid w:val="234A6382"/>
    <w:rsid w:val="26BB1518"/>
    <w:rsid w:val="2913040F"/>
    <w:rsid w:val="2AEF1E19"/>
    <w:rsid w:val="2C390ABF"/>
    <w:rsid w:val="2D143C01"/>
    <w:rsid w:val="32EF0E2E"/>
    <w:rsid w:val="3526457A"/>
    <w:rsid w:val="358D0B8B"/>
    <w:rsid w:val="38D960BF"/>
    <w:rsid w:val="392B7057"/>
    <w:rsid w:val="3E85732F"/>
    <w:rsid w:val="404154A6"/>
    <w:rsid w:val="4102093A"/>
    <w:rsid w:val="41D06905"/>
    <w:rsid w:val="423B53F3"/>
    <w:rsid w:val="428153C5"/>
    <w:rsid w:val="42956F35"/>
    <w:rsid w:val="43CD0CED"/>
    <w:rsid w:val="494E3A17"/>
    <w:rsid w:val="4A321D71"/>
    <w:rsid w:val="4A34243A"/>
    <w:rsid w:val="4C223995"/>
    <w:rsid w:val="4D2E001D"/>
    <w:rsid w:val="50D33D2B"/>
    <w:rsid w:val="537D4073"/>
    <w:rsid w:val="53F048BA"/>
    <w:rsid w:val="54A96EA3"/>
    <w:rsid w:val="566B5FBB"/>
    <w:rsid w:val="589D707D"/>
    <w:rsid w:val="58CF2127"/>
    <w:rsid w:val="5FE50FD2"/>
    <w:rsid w:val="601A482A"/>
    <w:rsid w:val="656D1A3A"/>
    <w:rsid w:val="66052C8C"/>
    <w:rsid w:val="66426D3C"/>
    <w:rsid w:val="66CD411E"/>
    <w:rsid w:val="67536973"/>
    <w:rsid w:val="6A1A1C3C"/>
    <w:rsid w:val="70123F7C"/>
    <w:rsid w:val="709975F9"/>
    <w:rsid w:val="71CE5C48"/>
    <w:rsid w:val="73BA06BB"/>
    <w:rsid w:val="7660298F"/>
    <w:rsid w:val="76685802"/>
    <w:rsid w:val="7A761A3A"/>
    <w:rsid w:val="7B1663A7"/>
    <w:rsid w:val="7C493372"/>
    <w:rsid w:val="7E1A1D97"/>
    <w:rsid w:val="7FDB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1913D-8257-4F7D-8D4B-1498069D625B}">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698</Words>
  <Characters>3985</Characters>
  <Lines>33</Lines>
  <Paragraphs>9</Paragraphs>
  <TotalTime>0</TotalTime>
  <ScaleCrop>false</ScaleCrop>
  <LinksUpToDate>false</LinksUpToDate>
  <CharactersWithSpaces>4674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2018-05-18T02:52:13Z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