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125" w:rsidRDefault="00FA0EA2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需要综资支持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VIMS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割接需求测试设计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327125" w:rsidRDefault="00FA0EA2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206394063</w:t>
      </w:r>
    </w:p>
    <w:p w:rsidR="00327125" w:rsidRDefault="00FA0EA2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需要综资支持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VIMS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割接</w:t>
      </w:r>
    </w:p>
    <w:p w:rsidR="00327125" w:rsidRDefault="00327125"/>
    <w:p w:rsidR="00327125" w:rsidRDefault="00FA0EA2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FA0EA2" w:rsidTr="00FA0EA2">
        <w:trPr>
          <w:jc w:val="center"/>
        </w:trPr>
        <w:tc>
          <w:tcPr>
            <w:tcW w:w="6091" w:type="dxa"/>
          </w:tcPr>
          <w:p w:rsidR="00FA0EA2" w:rsidRDefault="00FA0EA2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FA0EA2" w:rsidRDefault="00FA0EA2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20200604</w:t>
            </w:r>
          </w:p>
        </w:tc>
      </w:tr>
      <w:tr w:rsidR="00FA0EA2" w:rsidTr="00FA0EA2">
        <w:trPr>
          <w:trHeight w:val="90"/>
          <w:jc w:val="center"/>
        </w:trPr>
        <w:tc>
          <w:tcPr>
            <w:tcW w:w="6091" w:type="dxa"/>
          </w:tcPr>
          <w:p w:rsidR="00FA0EA2" w:rsidRDefault="00FA0EA2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FA0EA2" w:rsidRDefault="00FA0EA2">
            <w:pPr>
              <w:rPr>
                <w:rFonts w:ascii="楷体" w:eastAsia="楷体" w:hAnsi="楷体" w:cs="楷体"/>
              </w:rPr>
            </w:pPr>
          </w:p>
        </w:tc>
      </w:tr>
      <w:tr w:rsidR="00FA0EA2" w:rsidTr="00FA0EA2">
        <w:trPr>
          <w:jc w:val="center"/>
        </w:trPr>
        <w:tc>
          <w:tcPr>
            <w:tcW w:w="6091" w:type="dxa"/>
          </w:tcPr>
          <w:p w:rsidR="00FA0EA2" w:rsidRDefault="00FA0EA2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FA0EA2" w:rsidRDefault="00FA0EA2">
            <w:pPr>
              <w:rPr>
                <w:rFonts w:ascii="楷体" w:eastAsia="楷体" w:hAnsi="楷体" w:cs="楷体"/>
              </w:rPr>
            </w:pPr>
          </w:p>
        </w:tc>
      </w:tr>
      <w:tr w:rsidR="00FA0EA2" w:rsidTr="00FA0EA2">
        <w:trPr>
          <w:jc w:val="center"/>
        </w:trPr>
        <w:tc>
          <w:tcPr>
            <w:tcW w:w="6091" w:type="dxa"/>
          </w:tcPr>
          <w:p w:rsidR="00FA0EA2" w:rsidRDefault="00FA0EA2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FA0EA2" w:rsidRDefault="00FA0EA2">
            <w:pPr>
              <w:rPr>
                <w:rFonts w:ascii="楷体" w:eastAsia="楷体" w:hAnsi="楷体" w:cs="楷体"/>
              </w:rPr>
            </w:pPr>
          </w:p>
        </w:tc>
      </w:tr>
    </w:tbl>
    <w:p w:rsidR="00327125" w:rsidRDefault="00327125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327125" w:rsidRDefault="00FA0EA2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327125" w:rsidRDefault="00FA0EA2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需要综资支持</w:t>
      </w:r>
      <w:r>
        <w:rPr>
          <w:rFonts w:ascii="楷体" w:eastAsia="楷体" w:hAnsi="楷体" w:cs="楷体" w:hint="eastAsia"/>
        </w:rPr>
        <w:t>VIMS</w:t>
      </w:r>
      <w:r>
        <w:rPr>
          <w:rFonts w:ascii="楷体" w:eastAsia="楷体" w:hAnsi="楷体" w:cs="楷体" w:hint="eastAsia"/>
        </w:rPr>
        <w:t>割接</w:t>
      </w:r>
    </w:p>
    <w:p w:rsidR="00327125" w:rsidRDefault="00FA0EA2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327125" w:rsidRDefault="00FA0EA2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无改造</w:t>
      </w:r>
    </w:p>
    <w:p w:rsidR="00327125" w:rsidRDefault="00FA0EA2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改造：</w:t>
      </w:r>
    </w:p>
    <w:p w:rsidR="00327125" w:rsidRDefault="00FA0EA2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1.IBP</w:t>
      </w:r>
      <w:r>
        <w:rPr>
          <w:rFonts w:ascii="楷体" w:eastAsia="楷体" w:hAnsi="楷体" w:cs="楷体" w:hint="eastAsia"/>
        </w:rPr>
        <w:t>施工派发规则修改，当产品类型为普通直线，操作类型为零星割接时，判断若新老项为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用户，且新项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用户为：华为</w:t>
      </w:r>
      <w:r>
        <w:rPr>
          <w:rFonts w:ascii="楷体" w:eastAsia="楷体" w:hAnsi="楷体" w:cs="楷体" w:hint="eastAsia"/>
        </w:rPr>
        <w:t>ims,</w:t>
      </w:r>
      <w:r>
        <w:rPr>
          <w:rFonts w:ascii="楷体" w:eastAsia="楷体" w:hAnsi="楷体" w:cs="楷体" w:hint="eastAsia"/>
        </w:rPr>
        <w:t>老项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用户非华为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用户，且新老项</w:t>
      </w:r>
      <w:r>
        <w:rPr>
          <w:rFonts w:ascii="楷体" w:eastAsia="楷体" w:hAnsi="楷体" w:cs="楷体" w:hint="eastAsia"/>
        </w:rPr>
        <w:t>onu</w:t>
      </w:r>
      <w:r>
        <w:rPr>
          <w:rFonts w:ascii="楷体" w:eastAsia="楷体" w:hAnsi="楷体" w:cs="楷体" w:hint="eastAsia"/>
        </w:rPr>
        <w:t>逻辑编号发生变化，需要派发：数字家庭移入局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修改单、数字家庭归属局拆单、</w:t>
      </w:r>
      <w:r>
        <w:rPr>
          <w:rFonts w:ascii="楷体" w:eastAsia="楷体" w:hAnsi="楷体" w:cs="楷体" w:hint="eastAsia"/>
        </w:rPr>
        <w:t>Vims</w:t>
      </w:r>
      <w:r>
        <w:rPr>
          <w:rFonts w:ascii="楷体" w:eastAsia="楷体" w:hAnsi="楷体" w:cs="楷体" w:hint="eastAsia"/>
        </w:rPr>
        <w:t>移入局装单、</w:t>
      </w:r>
      <w:r>
        <w:rPr>
          <w:rFonts w:ascii="楷体" w:eastAsia="楷体" w:hAnsi="楷体" w:cs="楷体" w:hint="eastAsia"/>
        </w:rPr>
        <w:t>ims-hss/mmtel</w:t>
      </w:r>
      <w:r>
        <w:rPr>
          <w:rFonts w:ascii="楷体" w:eastAsia="楷体" w:hAnsi="楷体" w:cs="楷体" w:hint="eastAsia"/>
        </w:rPr>
        <w:t>归属局拆单</w:t>
      </w:r>
    </w:p>
    <w:p w:rsidR="00327125" w:rsidRDefault="00FA0EA2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</w:t>
      </w:r>
      <w:r>
        <w:rPr>
          <w:rFonts w:ascii="楷体" w:eastAsia="楷体" w:hAnsi="楷体" w:cs="楷体" w:hint="eastAsia"/>
        </w:rPr>
        <w:t>=SDN</w:t>
      </w:r>
      <w:r>
        <w:rPr>
          <w:rFonts w:ascii="楷体" w:eastAsia="楷体" w:hAnsi="楷体" w:cs="楷体" w:hint="eastAsia"/>
        </w:rPr>
        <w:t>，派发：</w:t>
      </w:r>
      <w:r>
        <w:rPr>
          <w:rFonts w:ascii="楷体" w:eastAsia="楷体" w:hAnsi="楷体" w:cs="楷体" w:hint="eastAsia"/>
        </w:rPr>
        <w:t>SDN</w:t>
      </w:r>
      <w:r>
        <w:rPr>
          <w:rFonts w:ascii="楷体" w:eastAsia="楷体" w:hAnsi="楷体" w:cs="楷体" w:hint="eastAsia"/>
        </w:rPr>
        <w:t>移入局修改单，</w:t>
      </w:r>
      <w:r>
        <w:rPr>
          <w:rFonts w:ascii="楷体" w:eastAsia="楷体" w:hAnsi="楷体" w:cs="楷体" w:hint="eastAsia"/>
        </w:rPr>
        <w:t>SDN</w:t>
      </w:r>
      <w:r>
        <w:rPr>
          <w:rFonts w:ascii="楷体" w:eastAsia="楷体" w:hAnsi="楷体" w:cs="楷体" w:hint="eastAsia"/>
        </w:rPr>
        <w:t>归属局拆机单、外线移入局装单、外线归属局拆机单、</w:t>
      </w:r>
      <w:r>
        <w:rPr>
          <w:rFonts w:ascii="楷体" w:eastAsia="楷体" w:hAnsi="楷体" w:cs="楷体" w:hint="eastAsia"/>
        </w:rPr>
        <w:t>ONU</w:t>
      </w:r>
      <w:r>
        <w:rPr>
          <w:rFonts w:ascii="楷体" w:eastAsia="楷体" w:hAnsi="楷体" w:cs="楷体" w:hint="eastAsia"/>
        </w:rPr>
        <w:t>归属局拆单，</w:t>
      </w:r>
      <w:r>
        <w:rPr>
          <w:rFonts w:ascii="楷体" w:eastAsia="楷体" w:hAnsi="楷体" w:cs="楷体" w:hint="eastAsia"/>
        </w:rPr>
        <w:t>ONU</w:t>
      </w:r>
      <w:r>
        <w:rPr>
          <w:rFonts w:ascii="楷体" w:eastAsia="楷体" w:hAnsi="楷体" w:cs="楷体" w:hint="eastAsia"/>
        </w:rPr>
        <w:t>移入局装单、</w:t>
      </w:r>
      <w:r>
        <w:rPr>
          <w:rFonts w:ascii="楷体" w:eastAsia="楷体" w:hAnsi="楷体" w:cs="楷体" w:hint="eastAsia"/>
        </w:rPr>
        <w:t>Enum</w:t>
      </w:r>
      <w:r>
        <w:rPr>
          <w:rFonts w:ascii="楷体" w:eastAsia="楷体" w:hAnsi="楷体" w:cs="楷体" w:hint="eastAsia"/>
        </w:rPr>
        <w:t>施工确认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割接、</w:t>
      </w:r>
      <w:r>
        <w:rPr>
          <w:rFonts w:ascii="楷体" w:eastAsia="楷体" w:hAnsi="楷体" w:cs="楷体" w:hint="eastAsia"/>
        </w:rPr>
        <w:t>Enum</w:t>
      </w:r>
      <w:r>
        <w:rPr>
          <w:rFonts w:ascii="楷体" w:eastAsia="楷体" w:hAnsi="楷体" w:cs="楷体" w:hint="eastAsia"/>
        </w:rPr>
        <w:t>移入局修改单、</w:t>
      </w:r>
      <w:r>
        <w:rPr>
          <w:rFonts w:ascii="楷体" w:eastAsia="楷体" w:hAnsi="楷体" w:cs="楷体" w:hint="eastAsia"/>
        </w:rPr>
        <w:t>SHLR</w:t>
      </w:r>
      <w:r>
        <w:rPr>
          <w:rFonts w:ascii="楷体" w:eastAsia="楷体" w:hAnsi="楷体" w:cs="楷体" w:hint="eastAsia"/>
        </w:rPr>
        <w:t>施工确认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割接、</w:t>
      </w:r>
      <w:r>
        <w:rPr>
          <w:rFonts w:ascii="楷体" w:eastAsia="楷体" w:hAnsi="楷体" w:cs="楷体" w:hint="eastAsia"/>
        </w:rPr>
        <w:t>SHLR</w:t>
      </w:r>
      <w:r>
        <w:rPr>
          <w:rFonts w:ascii="楷体" w:eastAsia="楷体" w:hAnsi="楷体" w:cs="楷体" w:hint="eastAsia"/>
        </w:rPr>
        <w:t>移入局修改单。</w:t>
      </w:r>
    </w:p>
    <w:p w:rsidR="00327125" w:rsidRDefault="00FA0EA2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2.IBP</w:t>
      </w:r>
      <w:r>
        <w:rPr>
          <w:rFonts w:ascii="楷体" w:eastAsia="楷体" w:hAnsi="楷体" w:cs="楷体" w:hint="eastAsia"/>
        </w:rPr>
        <w:t>施工派发规则修改，当产品类型为普通直线，操作类型为零星割接时，判断若新老项为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用户，且新项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用户为：华为</w:t>
      </w:r>
      <w:r>
        <w:rPr>
          <w:rFonts w:ascii="楷体" w:eastAsia="楷体" w:hAnsi="楷体" w:cs="楷体" w:hint="eastAsia"/>
        </w:rPr>
        <w:t>ims,</w:t>
      </w:r>
      <w:r>
        <w:rPr>
          <w:rFonts w:ascii="楷体" w:eastAsia="楷体" w:hAnsi="楷体" w:cs="楷体" w:hint="eastAsia"/>
        </w:rPr>
        <w:t>老项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用户非华为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用户，且新老项</w:t>
      </w:r>
      <w:r>
        <w:rPr>
          <w:rFonts w:ascii="楷体" w:eastAsia="楷体" w:hAnsi="楷体" w:cs="楷体" w:hint="eastAsia"/>
        </w:rPr>
        <w:t>onu</w:t>
      </w:r>
      <w:r>
        <w:rPr>
          <w:rFonts w:ascii="楷体" w:eastAsia="楷体" w:hAnsi="楷体" w:cs="楷体" w:hint="eastAsia"/>
        </w:rPr>
        <w:t>逻辑编号无变化时</w:t>
      </w:r>
      <w:r>
        <w:rPr>
          <w:rFonts w:ascii="楷体" w:eastAsia="楷体" w:hAnsi="楷体" w:cs="楷体" w:hint="eastAsia"/>
        </w:rPr>
        <w:t>，需要派发：</w:t>
      </w:r>
      <w:r>
        <w:rPr>
          <w:rFonts w:ascii="楷体" w:eastAsia="楷体" w:hAnsi="楷体" w:cs="楷体" w:hint="eastAsia"/>
        </w:rPr>
        <w:t>Vims</w:t>
      </w:r>
      <w:r>
        <w:rPr>
          <w:rFonts w:ascii="楷体" w:eastAsia="楷体" w:hAnsi="楷体" w:cs="楷体" w:hint="eastAsia"/>
        </w:rPr>
        <w:t>移入局装单、</w:t>
      </w:r>
      <w:r>
        <w:rPr>
          <w:rFonts w:ascii="楷体" w:eastAsia="楷体" w:hAnsi="楷体" w:cs="楷体" w:hint="eastAsia"/>
        </w:rPr>
        <w:t>Ims-hss/mmtel</w:t>
      </w:r>
      <w:r>
        <w:rPr>
          <w:rFonts w:ascii="楷体" w:eastAsia="楷体" w:hAnsi="楷体" w:cs="楷体" w:hint="eastAsia"/>
        </w:rPr>
        <w:t>归属局拆单、</w:t>
      </w:r>
      <w:r>
        <w:rPr>
          <w:rFonts w:ascii="楷体" w:eastAsia="楷体" w:hAnsi="楷体" w:cs="楷体" w:hint="eastAsia"/>
        </w:rPr>
        <w:t>SHLR</w:t>
      </w:r>
      <w:r>
        <w:rPr>
          <w:rFonts w:ascii="楷体" w:eastAsia="楷体" w:hAnsi="楷体" w:cs="楷体" w:hint="eastAsia"/>
        </w:rPr>
        <w:t>移入局修改单、</w:t>
      </w:r>
      <w:r>
        <w:rPr>
          <w:rFonts w:ascii="楷体" w:eastAsia="楷体" w:hAnsi="楷体" w:cs="楷体" w:hint="eastAsia"/>
        </w:rPr>
        <w:t>Enum</w:t>
      </w:r>
      <w:r>
        <w:rPr>
          <w:rFonts w:ascii="楷体" w:eastAsia="楷体" w:hAnsi="楷体" w:cs="楷体" w:hint="eastAsia"/>
        </w:rPr>
        <w:t>移入局修改单、数字家庭移入局修改单</w:t>
      </w:r>
    </w:p>
    <w:p w:rsidR="00327125" w:rsidRDefault="00FA0EA2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</w:t>
      </w:r>
      <w:r>
        <w:rPr>
          <w:rFonts w:ascii="楷体" w:eastAsia="楷体" w:hAnsi="楷体" w:cs="楷体" w:hint="eastAsia"/>
        </w:rPr>
        <w:t>=SDN</w:t>
      </w:r>
      <w:r>
        <w:rPr>
          <w:rFonts w:ascii="楷体" w:eastAsia="楷体" w:hAnsi="楷体" w:cs="楷体" w:hint="eastAsia"/>
        </w:rPr>
        <w:t>，派发：</w:t>
      </w:r>
      <w:r>
        <w:rPr>
          <w:rFonts w:ascii="楷体" w:eastAsia="楷体" w:hAnsi="楷体" w:cs="楷体" w:hint="eastAsia"/>
        </w:rPr>
        <w:t>SDN</w:t>
      </w:r>
      <w:r>
        <w:rPr>
          <w:rFonts w:ascii="楷体" w:eastAsia="楷体" w:hAnsi="楷体" w:cs="楷体" w:hint="eastAsia"/>
        </w:rPr>
        <w:t>移入局修改单。</w:t>
      </w:r>
    </w:p>
    <w:p w:rsidR="00327125" w:rsidRDefault="00FA0EA2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综资改造：</w:t>
      </w:r>
    </w:p>
    <w:p w:rsidR="00327125" w:rsidRDefault="00FA0EA2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</w:t>
      </w:r>
      <w:r>
        <w:rPr>
          <w:rFonts w:ascii="楷体" w:eastAsia="楷体" w:hAnsi="楷体" w:cs="楷体" w:hint="eastAsia"/>
        </w:rPr>
        <w:t>新增直线割接割</w:t>
      </w:r>
      <w:r>
        <w:rPr>
          <w:rFonts w:ascii="楷体" w:eastAsia="楷体" w:hAnsi="楷体" w:cs="楷体" w:hint="eastAsia"/>
        </w:rPr>
        <w:t>VIMS</w:t>
      </w:r>
      <w:r>
        <w:rPr>
          <w:rFonts w:ascii="楷体" w:eastAsia="楷体" w:hAnsi="楷体" w:cs="楷体" w:hint="eastAsia"/>
        </w:rPr>
        <w:t>的功能。</w:t>
      </w:r>
    </w:p>
    <w:p w:rsidR="00327125" w:rsidRDefault="00327125">
      <w:pPr>
        <w:jc w:val="left"/>
        <w:rPr>
          <w:rFonts w:ascii="楷体" w:eastAsia="楷体" w:hAnsi="楷体" w:cs="楷体"/>
        </w:rPr>
      </w:pPr>
    </w:p>
    <w:p w:rsidR="00327125" w:rsidRDefault="00FA0EA2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327125" w:rsidRDefault="00FA0EA2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场景一：直线</w:t>
      </w:r>
      <w:r>
        <w:rPr>
          <w:rFonts w:ascii="楷体" w:eastAsia="楷体" w:hAnsi="楷体" w:cs="楷体" w:hint="eastAsia"/>
        </w:rPr>
        <w:t>+</w:t>
      </w:r>
      <w:r>
        <w:rPr>
          <w:rFonts w:ascii="楷体" w:eastAsia="楷体" w:hAnsi="楷体" w:cs="楷体" w:hint="eastAsia"/>
        </w:rPr>
        <w:t>宽带同割</w:t>
      </w:r>
    </w:p>
    <w:p w:rsidR="00327125" w:rsidRDefault="00FA0EA2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场景二：直线单割</w:t>
      </w:r>
    </w:p>
    <w:p w:rsidR="00327125" w:rsidRDefault="00FA0EA2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场景三：光割光换终端</w:t>
      </w:r>
    </w:p>
    <w:p w:rsidR="00327125" w:rsidRDefault="00327125">
      <w:pPr>
        <w:jc w:val="left"/>
        <w:rPr>
          <w:rFonts w:ascii="楷体" w:eastAsia="楷体" w:hAnsi="楷体" w:cs="楷体"/>
        </w:rPr>
      </w:pPr>
    </w:p>
    <w:p w:rsidR="00327125" w:rsidRDefault="00FA0EA2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327125">
        <w:tc>
          <w:tcPr>
            <w:tcW w:w="722" w:type="dxa"/>
            <w:shd w:val="clear" w:color="auto" w:fill="00B0F0"/>
          </w:tcPr>
          <w:p w:rsidR="00327125" w:rsidRDefault="00FA0EA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327125" w:rsidRDefault="00FA0EA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327125" w:rsidRDefault="00FA0EA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327125" w:rsidRDefault="00FA0EA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327125">
        <w:trPr>
          <w:trHeight w:val="254"/>
        </w:trPr>
        <w:tc>
          <w:tcPr>
            <w:tcW w:w="722" w:type="dxa"/>
          </w:tcPr>
          <w:p w:rsidR="00327125" w:rsidRDefault="00FA0EA2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327125" w:rsidRDefault="00327125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068" w:type="dxa"/>
            <w:shd w:val="clear" w:color="auto" w:fill="auto"/>
          </w:tcPr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27125" w:rsidRDefault="0032712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327125">
        <w:trPr>
          <w:trHeight w:val="346"/>
        </w:trPr>
        <w:tc>
          <w:tcPr>
            <w:tcW w:w="722" w:type="dxa"/>
          </w:tcPr>
          <w:p w:rsidR="00327125" w:rsidRDefault="00FA0EA2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</w:p>
        </w:tc>
        <w:tc>
          <w:tcPr>
            <w:tcW w:w="1321" w:type="dxa"/>
          </w:tcPr>
          <w:p w:rsidR="00327125" w:rsidRDefault="00327125">
            <w:pPr>
              <w:widowControl/>
              <w:rPr>
                <w:rFonts w:ascii="楷体" w:eastAsia="楷体" w:hAnsi="楷体" w:cs="楷体"/>
              </w:rPr>
            </w:pPr>
          </w:p>
        </w:tc>
        <w:tc>
          <w:tcPr>
            <w:tcW w:w="5068" w:type="dxa"/>
            <w:shd w:val="clear" w:color="auto" w:fill="auto"/>
          </w:tcPr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27125" w:rsidRDefault="0032712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327125">
        <w:trPr>
          <w:trHeight w:val="2364"/>
        </w:trPr>
        <w:tc>
          <w:tcPr>
            <w:tcW w:w="722" w:type="dxa"/>
          </w:tcPr>
          <w:p w:rsidR="00327125" w:rsidRDefault="00FA0EA2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</w:p>
        </w:tc>
        <w:tc>
          <w:tcPr>
            <w:tcW w:w="1321" w:type="dxa"/>
          </w:tcPr>
          <w:p w:rsidR="00327125" w:rsidRDefault="00327125">
            <w:pPr>
              <w:widowControl/>
              <w:rPr>
                <w:rFonts w:ascii="楷体" w:eastAsia="楷体" w:hAnsi="楷体" w:cs="楷体"/>
              </w:rPr>
            </w:pPr>
          </w:p>
        </w:tc>
        <w:tc>
          <w:tcPr>
            <w:tcW w:w="5068" w:type="dxa"/>
            <w:shd w:val="clear" w:color="auto" w:fill="auto"/>
          </w:tcPr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27125" w:rsidRDefault="00327125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27125" w:rsidRDefault="0032712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327125" w:rsidRDefault="00FA0EA2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327125" w:rsidRDefault="00FA0EA2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327125" w:rsidRDefault="00FA0EA2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327125" w:rsidRDefault="00327125"/>
    <w:p w:rsidR="00327125" w:rsidRDefault="00327125"/>
    <w:p w:rsidR="00327125" w:rsidRDefault="00327125"/>
    <w:p w:rsidR="00327125" w:rsidRDefault="00327125"/>
    <w:p w:rsidR="00327125" w:rsidRDefault="00327125"/>
    <w:p w:rsidR="00327125" w:rsidRDefault="00327125"/>
    <w:p w:rsidR="00327125" w:rsidRDefault="00327125"/>
    <w:p w:rsidR="00327125" w:rsidRDefault="00327125"/>
    <w:sectPr w:rsidR="00327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B7DA3"/>
    <w:multiLevelType w:val="singleLevel"/>
    <w:tmpl w:val="A42B7D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25"/>
    <w:rsid w:val="00327125"/>
    <w:rsid w:val="00FA0EA2"/>
    <w:rsid w:val="29F4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2020-06-09T05:29:00Z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