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562" w:firstLineChars="200"/>
        <w:jc w:val="center"/>
        <w:rPr>
          <w:rFonts w:hint="eastAsia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  <w:t xml:space="preserve">商务彩铃群组（448）的设备号是通过综资选号接口返回需求测试设计  </w:t>
      </w:r>
    </w:p>
    <w:p>
      <w:pPr>
        <w:outlineLvl w:val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ITSM编号：206297138</w:t>
      </w:r>
    </w:p>
    <w:p>
      <w:pPr>
        <w:outlineLvl w:val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ITSM标题：商务彩铃群组（448）的设备号是通过综资选号接口返回 </w:t>
      </w:r>
    </w:p>
    <w:p/>
    <w:p>
      <w:pPr>
        <w:pStyle w:val="2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修改记录：</w:t>
      </w:r>
    </w:p>
    <w:tbl>
      <w:tblPr>
        <w:tblStyle w:val="4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1"/>
        <w:gridCol w:w="877"/>
        <w:gridCol w:w="1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创建设计</w:t>
            </w:r>
          </w:p>
        </w:tc>
        <w:tc>
          <w:tcPr>
            <w:tcW w:w="877" w:type="dxa"/>
          </w:tcPr>
          <w:p>
            <w:pPr>
              <w:jc w:val="center"/>
              <w:rPr>
                <w:rFonts w:hint="eastAsia" w:ascii="楷体" w:hAnsi="楷体" w:eastAsia="楷体" w:cs="楷体"/>
                <w:lang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沈健</w:t>
            </w:r>
          </w:p>
        </w:tc>
        <w:tc>
          <w:tcPr>
            <w:tcW w:w="1328" w:type="dxa"/>
          </w:tcPr>
          <w:p>
            <w:pPr>
              <w:jc w:val="center"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20200319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jc w:val="center"/>
              <w:rPr>
                <w:rFonts w:hint="default" w:ascii="楷体" w:hAnsi="楷体" w:eastAsia="楷体" w:cs="楷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案例修改号码直接调用综资返回，不由CRM人工选占</w:t>
            </w:r>
          </w:p>
        </w:tc>
        <w:tc>
          <w:tcPr>
            <w:tcW w:w="877" w:type="dxa"/>
          </w:tcPr>
          <w:p>
            <w:pPr>
              <w:jc w:val="center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沈健</w:t>
            </w:r>
          </w:p>
        </w:tc>
        <w:tc>
          <w:tcPr>
            <w:tcW w:w="1328" w:type="dxa"/>
          </w:tcPr>
          <w:p>
            <w:pPr>
              <w:jc w:val="center"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20200323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328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328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>ITSM需求内容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“【政企受理工作台】【功能需求】商务彩铃群组（448）的设备号是通过综资选号接口返回，涉及系统： 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 xml:space="preserve">1.综资：提供服务接口，目前已有接口：url：http://xxxx/services/crmService/Purdo2CrmWebService,方法：getBizResourceValidate 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 xml:space="preserve">2.政企专区：提供受理界面入口。 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3.csb/eai/eop 任意一个具有的能力平台：提供服务能力入口“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 xml:space="preserve">测试分析： </w:t>
      </w:r>
    </w:p>
    <w:p>
      <w:pPr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新CRM受理商务彩铃群组（448）选占设备号时调用接口查询综资中空闲的号码选占。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>场景设计：</w:t>
      </w:r>
    </w:p>
    <w:p>
      <w:pPr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场景一：新装商务彩铃群组（448）时调用综资接口返回号码</w:t>
      </w:r>
    </w:p>
    <w:p>
      <w:pPr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场景二：商务彩铃群组（448）拆机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 xml:space="preserve">四、案例设计： </w:t>
      </w:r>
    </w:p>
    <w:tbl>
      <w:tblPr>
        <w:tblStyle w:val="4"/>
        <w:tblW w:w="89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229"/>
        <w:gridCol w:w="516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229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案例名称</w:t>
            </w:r>
          </w:p>
        </w:tc>
        <w:tc>
          <w:tcPr>
            <w:tcW w:w="5160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6" w:hRule="atLeast"/>
        </w:trPr>
        <w:tc>
          <w:tcPr>
            <w:tcW w:w="722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2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新装商务彩铃群组（448）时查询并选占综资空闲号码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60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C0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测试步骤：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使用chenjianbing帐号登陆政企集成测试环境。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使用客户标识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“400000099051”定位客户。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在搜索栏输入产品名称“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”查询产品，查询完成后点击订购按钮。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点击右侧的购物车，购物车展开后选中刚订购的“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”新装订单点击配置。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填写铃声需求后点击保存，保存完成后点击需求单完善。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页面跳转后填写分账序号、经办人、发展人后点击结算，结算通过后提交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shd w:val="clear" w:fill="FFFFFF" w:themeFill="background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新CRM受理“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”时调用综资接口返回设备号。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shd w:val="clear" w:fill="FFFFFF" w:themeFill="background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新CRM提交“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”新装单后收到IBP返回的流程。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综资号码状态查询：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使用admin帐号登陆综资测试环境。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点击查询-码号-号码查询。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页面跳转后在起始号码和终止号码中填入刚CRM受理时生成的设备号，然后点击查询按钮。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CRM受理时使用的号码查询结果的业务状态为“占用”。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ind w:left="240" w:hanging="240" w:hangingChars="1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IBP回单：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240" w:hanging="240" w:hangingChars="10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P7上选中依次点击编辑将百事应网管自动工单和CRBTG CRBT自动工单任务完结。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”新装开通流程完成，所以系统中订单完工。</w:t>
            </w:r>
          </w:p>
        </w:tc>
        <w:tc>
          <w:tcPr>
            <w:tcW w:w="18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准备新CRM中的政企客户“400000099051”。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722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22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商务彩铃群组（448）拆机（使用选占综资号码新装完工的设备）</w:t>
            </w:r>
          </w:p>
        </w:tc>
        <w:tc>
          <w:tcPr>
            <w:tcW w:w="5160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C0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测试步骤：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使用chenjianbing帐号登陆政企集成测试环境。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使用案例1完工的设备定位客户。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定位完成后在客户资产中点击“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”产品。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页面跳转后选中案例1完工的设备点击拆除。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点击购物车，购物车展开后选中刚订购的“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”产品拆机订单，选择拆机原因“用户离沪”后点击需求单完善。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页面跳转后选择用户要求完工日期、发展人、经办人后点击结算，结算通过后提交订单。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ind w:leftChar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”产品拆机订单成功，订单提交后收到IBP返回的流水。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使用CRM订单号查询。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IBP收到CRM提交的“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”产品拆机单。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IBP发送原资产查询请求给综资，并获取到原服务返回结果。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IBP发送创服务消息给综资。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IBP派发百事应网管自动工单和CRBTG CRBT自动工单。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ind w:left="240" w:hanging="240" w:hangingChars="10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IBP回单：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240" w:hanging="240" w:hangingChars="10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P7上选中依次点击编辑将百事应网管自动工单和CRBTG CRBT自动工单任务完结。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“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商务彩铃群组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”拆机流程完成，CRM和综资中该设备被拆除。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综资中该号码的业务状态变更为“拆机废除”</w:t>
            </w:r>
          </w:p>
        </w:tc>
        <w:tc>
          <w:tcPr>
            <w:tcW w:w="18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1.使用案例1完工的设备。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 xml:space="preserve">五、测试设计评审记录：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222222"/>
          <w:kern w:val="0"/>
          <w:sz w:val="24"/>
          <w:szCs w:val="24"/>
          <w:lang w:val="en-US" w:eastAsia="zh-CN" w:bidi="ar"/>
        </w:rPr>
        <w:t>注释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/>
          <w:color w:val="222222"/>
          <w:kern w:val="0"/>
          <w:sz w:val="20"/>
          <w:szCs w:val="20"/>
          <w:lang w:val="en-US" w:eastAsia="zh-CN" w:bidi="ar"/>
        </w:rPr>
        <w:t>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6EA9C"/>
    <w:multiLevelType w:val="singleLevel"/>
    <w:tmpl w:val="8BC6EA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DF004F"/>
    <w:multiLevelType w:val="singleLevel"/>
    <w:tmpl w:val="8BDF00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212288E"/>
    <w:multiLevelType w:val="singleLevel"/>
    <w:tmpl w:val="E21228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94B12C8"/>
    <w:multiLevelType w:val="singleLevel"/>
    <w:tmpl w:val="E94B12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F2A8627F"/>
    <w:multiLevelType w:val="singleLevel"/>
    <w:tmpl w:val="F2A8627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A194A09"/>
    <w:multiLevelType w:val="singleLevel"/>
    <w:tmpl w:val="FA194A0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67A5A6"/>
    <w:multiLevelType w:val="singleLevel"/>
    <w:tmpl w:val="0067A5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B1DA2A5"/>
    <w:multiLevelType w:val="singleLevel"/>
    <w:tmpl w:val="0B1DA2A5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0F4049A"/>
    <w:multiLevelType w:val="singleLevel"/>
    <w:tmpl w:val="20F4049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16D1533"/>
    <w:multiLevelType w:val="singleLevel"/>
    <w:tmpl w:val="516D1533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86C5385"/>
    <w:multiLevelType w:val="singleLevel"/>
    <w:tmpl w:val="586C53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EF97BDE"/>
    <w:multiLevelType w:val="singleLevel"/>
    <w:tmpl w:val="5EF97BD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10"/>
  </w:num>
  <w:num w:numId="6">
    <w:abstractNumId w:val="9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00633"/>
    <w:rsid w:val="0A4D7853"/>
    <w:rsid w:val="0B6B3C0A"/>
    <w:rsid w:val="20E16D95"/>
    <w:rsid w:val="24A91B77"/>
    <w:rsid w:val="25A07473"/>
    <w:rsid w:val="26BD00C8"/>
    <w:rsid w:val="31AF1EFB"/>
    <w:rsid w:val="371A5C5B"/>
    <w:rsid w:val="3BC7641B"/>
    <w:rsid w:val="3C3830A9"/>
    <w:rsid w:val="42545F4D"/>
    <w:rsid w:val="438E2FFF"/>
    <w:rsid w:val="459B09F0"/>
    <w:rsid w:val="4D3C6BBD"/>
    <w:rsid w:val="4DA23526"/>
    <w:rsid w:val="514B4130"/>
    <w:rsid w:val="54BB641D"/>
    <w:rsid w:val="5FA941BB"/>
    <w:rsid w:val="60542A1C"/>
    <w:rsid w:val="605F66FC"/>
    <w:rsid w:val="613F2A24"/>
    <w:rsid w:val="61E53DB0"/>
    <w:rsid w:val="635011E8"/>
    <w:rsid w:val="63AD4839"/>
    <w:rsid w:val="64506CAE"/>
    <w:rsid w:val="64902245"/>
    <w:rsid w:val="66705561"/>
    <w:rsid w:val="6C455177"/>
    <w:rsid w:val="70A9252C"/>
    <w:rsid w:val="789E79B8"/>
    <w:rsid w:val="7F4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sj</dc:creator>
  <cp:lastModifiedBy>sj</cp:lastModifiedBy>
  <dcterms:modified xsi:type="dcterms:W3CDTF">2020-03-23T02:06:27Z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