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C6" w:rsidRDefault="00104ED8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增加停机用户资源释放后，复机时支持新装光的流程需求测试设计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 </w:t>
      </w:r>
    </w:p>
    <w:p w:rsidR="00D92EC6" w:rsidRDefault="00104ED8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ascii="Verdana" w:eastAsia="宋体" w:hAnsi="Verdana" w:cs="Verdana"/>
          <w:color w:val="000000"/>
          <w:sz w:val="20"/>
          <w:szCs w:val="20"/>
        </w:rPr>
        <w:t>196215088</w:t>
      </w:r>
    </w:p>
    <w:p w:rsidR="00D92EC6" w:rsidRDefault="00104ED8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>
        <w:rPr>
          <w:rFonts w:ascii="Verdana" w:eastAsia="宋体" w:hAnsi="Verdana" w:cs="Verdana" w:hint="eastAsia"/>
          <w:color w:val="000000"/>
          <w:sz w:val="20"/>
          <w:szCs w:val="20"/>
        </w:rPr>
        <w:t>增加停机用户资源释放后，复机时支持新装光的流程</w:t>
      </w:r>
    </w:p>
    <w:p w:rsidR="00D92EC6" w:rsidRDefault="00D92EC6"/>
    <w:p w:rsidR="00D92EC6" w:rsidRDefault="00104ED8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104ED8" w:rsidTr="00104ED8">
        <w:trPr>
          <w:jc w:val="center"/>
        </w:trPr>
        <w:tc>
          <w:tcPr>
            <w:tcW w:w="6091" w:type="dxa"/>
          </w:tcPr>
          <w:p w:rsidR="00104ED8" w:rsidRDefault="00104ED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104ED8" w:rsidRDefault="00104ED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20200415</w:t>
            </w:r>
          </w:p>
        </w:tc>
      </w:tr>
      <w:tr w:rsidR="00104ED8" w:rsidTr="00104ED8">
        <w:trPr>
          <w:trHeight w:val="90"/>
          <w:jc w:val="center"/>
        </w:trPr>
        <w:tc>
          <w:tcPr>
            <w:tcW w:w="6091" w:type="dxa"/>
          </w:tcPr>
          <w:p w:rsidR="00104ED8" w:rsidRDefault="00104ED8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104ED8" w:rsidRDefault="00104ED8">
            <w:pPr>
              <w:rPr>
                <w:rFonts w:ascii="楷体" w:eastAsia="楷体" w:hAnsi="楷体" w:cs="楷体"/>
              </w:rPr>
            </w:pPr>
          </w:p>
        </w:tc>
      </w:tr>
      <w:tr w:rsidR="00104ED8" w:rsidTr="00104ED8">
        <w:trPr>
          <w:jc w:val="center"/>
        </w:trPr>
        <w:tc>
          <w:tcPr>
            <w:tcW w:w="6091" w:type="dxa"/>
          </w:tcPr>
          <w:p w:rsidR="00104ED8" w:rsidRDefault="00104ED8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104ED8" w:rsidRDefault="00104ED8">
            <w:pPr>
              <w:rPr>
                <w:rFonts w:ascii="楷体" w:eastAsia="楷体" w:hAnsi="楷体" w:cs="楷体"/>
              </w:rPr>
            </w:pPr>
          </w:p>
        </w:tc>
      </w:tr>
      <w:tr w:rsidR="00104ED8" w:rsidTr="00104ED8">
        <w:trPr>
          <w:jc w:val="center"/>
        </w:trPr>
        <w:tc>
          <w:tcPr>
            <w:tcW w:w="6091" w:type="dxa"/>
          </w:tcPr>
          <w:p w:rsidR="00104ED8" w:rsidRDefault="00104ED8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104ED8" w:rsidRDefault="00104ED8">
            <w:pPr>
              <w:rPr>
                <w:rFonts w:ascii="楷体" w:eastAsia="楷体" w:hAnsi="楷体" w:cs="楷体"/>
              </w:rPr>
            </w:pPr>
          </w:p>
        </w:tc>
      </w:tr>
    </w:tbl>
    <w:p w:rsidR="00D92EC6" w:rsidRDefault="00D92EC6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D92EC6" w:rsidRDefault="00104ED8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需求内容</w:t>
      </w:r>
    </w:p>
    <w:p w:rsidR="00D92EC6" w:rsidRDefault="00104ED8">
      <w:pPr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综资之前</w:t>
      </w:r>
      <w:proofErr w:type="gramEnd"/>
      <w:r>
        <w:rPr>
          <w:rFonts w:ascii="楷体" w:eastAsia="楷体" w:hAnsi="楷体" w:cs="楷体" w:hint="eastAsia"/>
        </w:rPr>
        <w:t>做过一个业务流程叫无资源停机。是针对长期停机的用户，</w:t>
      </w:r>
      <w:proofErr w:type="gramStart"/>
      <w:r>
        <w:rPr>
          <w:rFonts w:ascii="楷体" w:eastAsia="楷体" w:hAnsi="楷体" w:cs="楷体" w:hint="eastAsia"/>
        </w:rPr>
        <w:t>在综资里面</w:t>
      </w:r>
      <w:proofErr w:type="gramEnd"/>
      <w:r>
        <w:rPr>
          <w:rFonts w:ascii="楷体" w:eastAsia="楷体" w:hAnsi="楷体" w:cs="楷体" w:hint="eastAsia"/>
        </w:rPr>
        <w:t>将资源进行释放，即这些用户</w:t>
      </w:r>
      <w:proofErr w:type="gramStart"/>
      <w:r>
        <w:rPr>
          <w:rFonts w:ascii="楷体" w:eastAsia="楷体" w:hAnsi="楷体" w:cs="楷体" w:hint="eastAsia"/>
        </w:rPr>
        <w:t>在综资里面</w:t>
      </w:r>
      <w:proofErr w:type="gramEnd"/>
      <w:r>
        <w:rPr>
          <w:rFonts w:ascii="楷体" w:eastAsia="楷体" w:hAnsi="楷体" w:cs="楷体" w:hint="eastAsia"/>
        </w:rPr>
        <w:t>都已经没资源了。原有后续的复机操作是，这些停机且资源释放的</w:t>
      </w:r>
      <w:proofErr w:type="gramStart"/>
      <w:r>
        <w:rPr>
          <w:rFonts w:ascii="楷体" w:eastAsia="楷体" w:hAnsi="楷体" w:cs="楷体" w:hint="eastAsia"/>
        </w:rPr>
        <w:t>用户做复机</w:t>
      </w:r>
      <w:proofErr w:type="gramEnd"/>
      <w:r>
        <w:rPr>
          <w:rFonts w:ascii="楷体" w:eastAsia="楷体" w:hAnsi="楷体" w:cs="楷体" w:hint="eastAsia"/>
        </w:rPr>
        <w:t>，走的是新装的业务流程，要帮用户按照新分配的资源给装出来。原先新装都是作为“普通”（即铜缆）用户进行。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t>现在需要新增一个需求，是复机的时候要配置“</w:t>
      </w:r>
      <w:r>
        <w:rPr>
          <w:rFonts w:ascii="楷体" w:eastAsia="楷体" w:hAnsi="楷体" w:cs="楷体" w:hint="eastAsia"/>
        </w:rPr>
        <w:t>FTTH</w:t>
      </w:r>
      <w:r>
        <w:rPr>
          <w:rFonts w:ascii="楷体" w:eastAsia="楷体" w:hAnsi="楷体" w:cs="楷体" w:hint="eastAsia"/>
        </w:rPr>
        <w:t>”的资源，给用户把</w:t>
      </w:r>
      <w:r>
        <w:rPr>
          <w:rFonts w:ascii="楷体" w:eastAsia="楷体" w:hAnsi="楷体" w:cs="楷体" w:hint="eastAsia"/>
        </w:rPr>
        <w:t>FTTH</w:t>
      </w:r>
      <w:r>
        <w:rPr>
          <w:rFonts w:ascii="楷体" w:eastAsia="楷体" w:hAnsi="楷体" w:cs="楷体" w:hint="eastAsia"/>
        </w:rPr>
        <w:t>装出来。</w:t>
      </w:r>
    </w:p>
    <w:p w:rsidR="00D92EC6" w:rsidRDefault="00104ED8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D92EC6" w:rsidRDefault="00104ED8">
      <w:pPr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对于综资无</w:t>
      </w:r>
      <w:proofErr w:type="gramEnd"/>
      <w:r>
        <w:rPr>
          <w:rFonts w:ascii="楷体" w:eastAsia="楷体" w:hAnsi="楷体" w:cs="楷体" w:hint="eastAsia"/>
        </w:rPr>
        <w:t>资源停机状态的固定电话，复机时</w:t>
      </w:r>
      <w:r>
        <w:rPr>
          <w:rFonts w:ascii="楷体" w:eastAsia="楷体" w:hAnsi="楷体" w:cs="楷体" w:hint="eastAsia"/>
        </w:rPr>
        <w:t>IBP</w:t>
      </w:r>
      <w:proofErr w:type="gramStart"/>
      <w:r>
        <w:rPr>
          <w:rFonts w:ascii="楷体" w:eastAsia="楷体" w:hAnsi="楷体" w:cs="楷体" w:hint="eastAsia"/>
        </w:rPr>
        <w:t>派发工</w:t>
      </w:r>
      <w:proofErr w:type="gramEnd"/>
      <w:r>
        <w:rPr>
          <w:rFonts w:ascii="楷体" w:eastAsia="楷体" w:hAnsi="楷体" w:cs="楷体" w:hint="eastAsia"/>
        </w:rPr>
        <w:t>单参照新装流程，需要派发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、数字家庭网关、</w:t>
      </w:r>
      <w:r>
        <w:rPr>
          <w:rFonts w:ascii="楷体" w:eastAsia="楷体" w:hAnsi="楷体" w:cs="楷体" w:hint="eastAsia"/>
        </w:rPr>
        <w:t>ONU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SHLR</w:t>
      </w:r>
      <w:proofErr w:type="gramStart"/>
      <w:r>
        <w:rPr>
          <w:rFonts w:ascii="楷体" w:eastAsia="楷体" w:hAnsi="楷体" w:cs="楷体" w:hint="eastAsia"/>
        </w:rPr>
        <w:t>新装工</w:t>
      </w:r>
      <w:proofErr w:type="gramEnd"/>
      <w:r>
        <w:rPr>
          <w:rFonts w:ascii="楷体" w:eastAsia="楷体" w:hAnsi="楷体" w:cs="楷体" w:hint="eastAsia"/>
        </w:rPr>
        <w:t>单。</w:t>
      </w:r>
    </w:p>
    <w:p w:rsidR="00D92EC6" w:rsidRDefault="00D92EC6">
      <w:pPr>
        <w:jc w:val="left"/>
        <w:rPr>
          <w:rFonts w:ascii="楷体" w:eastAsia="楷体" w:hAnsi="楷体" w:cs="楷体"/>
        </w:rPr>
      </w:pPr>
    </w:p>
    <w:p w:rsidR="00D92EC6" w:rsidRDefault="00104ED8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计：</w:t>
      </w:r>
    </w:p>
    <w:p w:rsidR="00D92EC6" w:rsidRDefault="00104ED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</w:t>
      </w:r>
      <w:proofErr w:type="gramStart"/>
      <w:r>
        <w:rPr>
          <w:rFonts w:ascii="楷体" w:eastAsia="楷体" w:hAnsi="楷体" w:cs="楷体" w:hint="eastAsia"/>
        </w:rPr>
        <w:t>一</w:t>
      </w:r>
      <w:proofErr w:type="gramEnd"/>
      <w:r>
        <w:rPr>
          <w:rFonts w:ascii="楷体" w:eastAsia="楷体" w:hAnsi="楷体" w:cs="楷体" w:hint="eastAsia"/>
        </w:rPr>
        <w:t>：铜缆</w:t>
      </w:r>
      <w:proofErr w:type="gramStart"/>
      <w:r>
        <w:rPr>
          <w:rFonts w:ascii="楷体" w:eastAsia="楷体" w:hAnsi="楷体" w:cs="楷体" w:hint="eastAsia"/>
        </w:rPr>
        <w:t>接入综资无</w:t>
      </w:r>
      <w:proofErr w:type="gramEnd"/>
      <w:r>
        <w:rPr>
          <w:rFonts w:ascii="楷体" w:eastAsia="楷体" w:hAnsi="楷体" w:cs="楷体" w:hint="eastAsia"/>
        </w:rPr>
        <w:t>资源停机固定电话复机</w:t>
      </w:r>
    </w:p>
    <w:p w:rsidR="00D92EC6" w:rsidRDefault="00104ED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9010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751"/>
        <w:gridCol w:w="1321"/>
        <w:gridCol w:w="5068"/>
        <w:gridCol w:w="1870"/>
      </w:tblGrid>
      <w:tr w:rsidR="00D92EC6">
        <w:tc>
          <w:tcPr>
            <w:tcW w:w="751" w:type="dxa"/>
            <w:shd w:val="clear" w:color="auto" w:fill="00B0F0"/>
          </w:tcPr>
          <w:p w:rsidR="00D92EC6" w:rsidRDefault="00104ED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D92EC6" w:rsidRDefault="00104ED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D92EC6" w:rsidRDefault="00104ED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D92EC6" w:rsidRDefault="00104ED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D92EC6">
        <w:trPr>
          <w:trHeight w:val="1734"/>
        </w:trPr>
        <w:tc>
          <w:tcPr>
            <w:tcW w:w="751" w:type="dxa"/>
          </w:tcPr>
          <w:p w:rsidR="00D92EC6" w:rsidRDefault="00104ED8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D92EC6" w:rsidRDefault="00D92EC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92EC6" w:rsidRDefault="00D92EC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92EC6" w:rsidRDefault="00D92EC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92EC6" w:rsidRDefault="00D92EC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92EC6" w:rsidRDefault="00104ED8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铜缆</w:t>
            </w:r>
            <w:proofErr w:type="gramStart"/>
            <w:r>
              <w:rPr>
                <w:rFonts w:ascii="楷体" w:eastAsia="楷体" w:hAnsi="楷体" w:cs="楷体" w:hint="eastAsia"/>
              </w:rPr>
              <w:t>接入综资无</w:t>
            </w:r>
            <w:proofErr w:type="gramEnd"/>
            <w:r>
              <w:rPr>
                <w:rFonts w:ascii="楷体" w:eastAsia="楷体" w:hAnsi="楷体" w:cs="楷体" w:hint="eastAsia"/>
              </w:rPr>
              <w:t>资源停机固定电话复机</w:t>
            </w:r>
          </w:p>
          <w:p w:rsidR="00D92EC6" w:rsidRDefault="00D92EC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068" w:type="dxa"/>
            <w:shd w:val="clear" w:color="auto" w:fill="auto"/>
          </w:tcPr>
          <w:p w:rsidR="00D92EC6" w:rsidRDefault="00104ED8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测试步骤：</w:t>
            </w:r>
          </w:p>
          <w:p w:rsidR="00D92EC6" w:rsidRDefault="00104ED8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D92EC6" w:rsidRDefault="00104ED8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D92EC6" w:rsidRDefault="00104ED8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37470162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”设备定位客户。</w:t>
            </w:r>
          </w:p>
          <w:p w:rsidR="00D92EC6" w:rsidRDefault="00104ED8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定位客户完成后点击业务办理点击复机，选中“”设备，然后点击去结算按钮。</w:t>
            </w:r>
          </w:p>
          <w:p w:rsidR="00D92EC6" w:rsidRDefault="00104ED8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结算通过后提交订单。</w:t>
            </w:r>
          </w:p>
          <w:p w:rsidR="00D92EC6" w:rsidRDefault="00D92E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92EC6" w:rsidRDefault="00104ED8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预期结果：</w:t>
            </w:r>
          </w:p>
          <w:p w:rsidR="00D92EC6" w:rsidRDefault="00104ED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受理固定电话复机订单，结算通过，提交后收到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D92EC6" w:rsidRDefault="00D92E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92EC6" w:rsidRDefault="00104ED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D92EC6" w:rsidRDefault="00104ED8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D92EC6" w:rsidRDefault="00104ED8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D92EC6" w:rsidRDefault="00D92E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92EC6" w:rsidRDefault="00104ED8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92EC6" w:rsidRDefault="00104ED8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提交的固定电话复机单。</w:t>
            </w:r>
          </w:p>
          <w:p w:rsidR="00D92EC6" w:rsidRDefault="00104ED8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发送原资产查询到综资，获取到原服务信息。</w:t>
            </w:r>
          </w:p>
          <w:p w:rsidR="00D92EC6" w:rsidRDefault="00104ED8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到综资，等待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综资资源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D92EC6" w:rsidRDefault="00104ED8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配置成功，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收到配置成为消息进行资源审核，获取到资源信息。</w:t>
            </w:r>
          </w:p>
          <w:p w:rsidR="00D92EC6" w:rsidRDefault="00104ED8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proofErr w:type="spellStart"/>
            <w:r>
              <w:rPr>
                <w:rFonts w:ascii="楷体" w:eastAsia="楷体" w:hAnsi="楷体" w:cs="楷体" w:hint="eastAsia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</w:rPr>
              <w:t>、数字家庭网关、</w:t>
            </w:r>
            <w:r>
              <w:rPr>
                <w:rFonts w:ascii="楷体" w:eastAsia="楷体" w:hAnsi="楷体" w:cs="楷体" w:hint="eastAsia"/>
              </w:rPr>
              <w:t>ONU</w:t>
            </w:r>
            <w:r>
              <w:rPr>
                <w:rFonts w:ascii="楷体" w:eastAsia="楷体" w:hAnsi="楷体" w:cs="楷体" w:hint="eastAsia"/>
              </w:rPr>
              <w:t>、</w:t>
            </w:r>
            <w:r>
              <w:rPr>
                <w:rFonts w:ascii="楷体" w:eastAsia="楷体" w:hAnsi="楷体" w:cs="楷体" w:hint="eastAsia"/>
              </w:rPr>
              <w:t>SHLR</w:t>
            </w:r>
            <w:r>
              <w:rPr>
                <w:rFonts w:ascii="楷体" w:eastAsia="楷体" w:hAnsi="楷体" w:cs="楷体" w:hint="eastAsia"/>
              </w:rPr>
              <w:t>工单。</w:t>
            </w:r>
          </w:p>
          <w:p w:rsidR="00D92EC6" w:rsidRDefault="00D92EC6">
            <w:pPr>
              <w:jc w:val="left"/>
              <w:rPr>
                <w:rFonts w:ascii="楷体" w:eastAsia="楷体" w:hAnsi="楷体" w:cs="楷体"/>
              </w:rPr>
            </w:pPr>
          </w:p>
          <w:p w:rsidR="00D92EC6" w:rsidRDefault="00104ED8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D92EC6" w:rsidRDefault="00104ED8">
            <w:pPr>
              <w:widowControl/>
              <w:numPr>
                <w:ilvl w:val="0"/>
                <w:numId w:val="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D92EC6" w:rsidRDefault="00D92E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92EC6" w:rsidRDefault="00104ED8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92EC6" w:rsidRDefault="00104ED8">
            <w:pPr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固定电话复机流程完成，所有系统中订单完工，</w:t>
            </w:r>
            <w:r>
              <w:rPr>
                <w:rFonts w:ascii="楷体" w:eastAsia="楷体" w:hAnsi="楷体" w:cs="楷体" w:hint="eastAsia"/>
              </w:rPr>
              <w:t>CRM</w:t>
            </w:r>
            <w:r>
              <w:rPr>
                <w:rFonts w:ascii="楷体" w:eastAsia="楷体" w:hAnsi="楷体" w:cs="楷体" w:hint="eastAsia"/>
              </w:rPr>
              <w:t>和</w:t>
            </w:r>
            <w:proofErr w:type="gramStart"/>
            <w:r>
              <w:rPr>
                <w:rFonts w:ascii="楷体" w:eastAsia="楷体" w:hAnsi="楷体" w:cs="楷体" w:hint="eastAsia"/>
              </w:rPr>
              <w:t>综资</w:t>
            </w:r>
            <w:proofErr w:type="gramEnd"/>
            <w:r>
              <w:rPr>
                <w:rFonts w:ascii="楷体" w:eastAsia="楷体" w:hAnsi="楷体" w:cs="楷体" w:hint="eastAsia"/>
              </w:rPr>
              <w:t>资产状态更新为开通状态。</w:t>
            </w:r>
          </w:p>
          <w:p w:rsidR="00D92EC6" w:rsidRDefault="00D92EC6">
            <w:pPr>
              <w:jc w:val="left"/>
              <w:rPr>
                <w:rFonts w:ascii="楷体" w:eastAsia="楷体" w:hAnsi="楷体" w:cs="楷体"/>
              </w:rPr>
            </w:pPr>
          </w:p>
          <w:p w:rsidR="00D92EC6" w:rsidRDefault="00104ED8">
            <w:pPr>
              <w:shd w:val="clear" w:color="auto" w:fill="FFC00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验证点：</w:t>
            </w:r>
          </w:p>
          <w:p w:rsidR="00D92EC6" w:rsidRDefault="00104ED8">
            <w:pPr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验证无资源停机的固定电话复</w:t>
            </w:r>
            <w:proofErr w:type="gramStart"/>
            <w:r>
              <w:rPr>
                <w:rFonts w:ascii="楷体" w:eastAsia="楷体" w:hAnsi="楷体" w:cs="楷体" w:hint="eastAsia"/>
              </w:rPr>
              <w:t>机时综资配置</w:t>
            </w:r>
            <w:proofErr w:type="gramEnd"/>
            <w:r>
              <w:rPr>
                <w:rFonts w:ascii="楷体" w:eastAsia="楷体" w:hAnsi="楷体" w:cs="楷体" w:hint="eastAsia"/>
              </w:rPr>
              <w:t>的光资源。</w:t>
            </w:r>
          </w:p>
          <w:p w:rsidR="00D92EC6" w:rsidRDefault="00104ED8">
            <w:pPr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验证</w:t>
            </w: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派发</w:t>
            </w:r>
            <w:proofErr w:type="spellStart"/>
            <w:r>
              <w:rPr>
                <w:rFonts w:ascii="楷体" w:eastAsia="楷体" w:hAnsi="楷体" w:cs="楷体" w:hint="eastAsia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</w:rPr>
              <w:t>、家庭网关、</w:t>
            </w:r>
            <w:r>
              <w:rPr>
                <w:rFonts w:ascii="楷体" w:eastAsia="楷体" w:hAnsi="楷体" w:cs="楷体" w:hint="eastAsia"/>
              </w:rPr>
              <w:t>ONU</w:t>
            </w:r>
            <w:r>
              <w:rPr>
                <w:rFonts w:ascii="楷体" w:eastAsia="楷体" w:hAnsi="楷体" w:cs="楷体" w:hint="eastAsia"/>
              </w:rPr>
              <w:t>、</w:t>
            </w:r>
            <w:r>
              <w:rPr>
                <w:rFonts w:ascii="楷体" w:eastAsia="楷体" w:hAnsi="楷体" w:cs="楷体" w:hint="eastAsia"/>
              </w:rPr>
              <w:t>SHLR</w:t>
            </w:r>
            <w:proofErr w:type="gramStart"/>
            <w:r>
              <w:rPr>
                <w:rFonts w:ascii="楷体" w:eastAsia="楷体" w:hAnsi="楷体" w:cs="楷体" w:hint="eastAsia"/>
              </w:rPr>
              <w:t>新装工</w:t>
            </w:r>
            <w:proofErr w:type="gramEnd"/>
            <w:r>
              <w:rPr>
                <w:rFonts w:ascii="楷体" w:eastAsia="楷体" w:hAnsi="楷体" w:cs="楷体" w:hint="eastAsia"/>
              </w:rPr>
              <w:t>单。</w:t>
            </w:r>
          </w:p>
          <w:p w:rsidR="00104ED8" w:rsidRDefault="00104ED8">
            <w:pPr>
              <w:jc w:val="left"/>
              <w:rPr>
                <w:rFonts w:ascii="楷体" w:eastAsia="楷体" w:hAnsi="楷体" w:cs="楷体" w:hint="eastAsia"/>
              </w:rPr>
            </w:pPr>
            <w:r>
              <w:rPr>
                <w:rFonts w:ascii="楷体" w:eastAsia="楷体" w:hAnsi="楷体" w:cs="楷体" w:hint="eastAsia"/>
              </w:rPr>
              <w:t>验证方法</w:t>
            </w:r>
            <w:proofErr w:type="spellStart"/>
            <w:r>
              <w:rPr>
                <w:rFonts w:ascii="楷体" w:eastAsia="楷体" w:hAnsi="楷体" w:cs="楷体" w:hint="eastAsia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</w:rPr>
              <w:t>、</w:t>
            </w:r>
            <w:r>
              <w:rPr>
                <w:rFonts w:ascii="楷体" w:eastAsia="楷体" w:hAnsi="楷体" w:cs="楷体" w:hint="eastAsia"/>
              </w:rPr>
              <w:t>ONU</w:t>
            </w:r>
            <w:r>
              <w:rPr>
                <w:rFonts w:ascii="楷体" w:eastAsia="楷体" w:hAnsi="楷体" w:cs="楷体" w:hint="eastAsia"/>
              </w:rPr>
              <w:t>、</w:t>
            </w:r>
            <w:r>
              <w:rPr>
                <w:rFonts w:ascii="楷体" w:eastAsia="楷体" w:hAnsi="楷体" w:cs="楷体" w:hint="eastAsia"/>
              </w:rPr>
              <w:t>SHLR</w:t>
            </w:r>
            <w:r>
              <w:rPr>
                <w:rFonts w:ascii="楷体" w:eastAsia="楷体" w:hAnsi="楷体" w:cs="楷体" w:hint="eastAsia"/>
              </w:rPr>
              <w:t>在</w:t>
            </w:r>
            <w:r>
              <w:rPr>
                <w:rFonts w:ascii="楷体" w:eastAsia="楷体" w:hAnsi="楷体" w:cs="楷体" w:hint="eastAsia"/>
              </w:rPr>
              <w:t>PAL</w:t>
            </w:r>
            <w:r>
              <w:rPr>
                <w:rFonts w:ascii="楷体" w:eastAsia="楷体" w:hAnsi="楷体" w:cs="楷体" w:hint="eastAsia"/>
              </w:rPr>
              <w:t>数据库</w:t>
            </w:r>
            <w:proofErr w:type="spellStart"/>
            <w:r>
              <w:rPr>
                <w:rFonts w:ascii="楷体" w:eastAsia="楷体" w:hAnsi="楷体" w:cs="楷体" w:hint="eastAsia"/>
              </w:rPr>
              <w:t>asap_workorder_request</w:t>
            </w:r>
            <w:proofErr w:type="spellEnd"/>
            <w:r>
              <w:rPr>
                <w:rFonts w:ascii="楷体" w:eastAsia="楷体" w:hAnsi="楷体" w:cs="楷体" w:hint="eastAsia"/>
              </w:rPr>
              <w:t>表中查询,且报文内只有</w:t>
            </w:r>
            <w:proofErr w:type="spellStart"/>
            <w:r w:rsidRPr="00104ED8">
              <w:rPr>
                <w:rFonts w:ascii="楷体" w:eastAsia="楷体" w:hAnsi="楷体" w:cs="楷体"/>
              </w:rPr>
              <w:t>serviceProperty_new</w:t>
            </w:r>
            <w:proofErr w:type="spellEnd"/>
            <w:r>
              <w:rPr>
                <w:rFonts w:ascii="楷体" w:eastAsia="楷体" w:hAnsi="楷体" w:cs="楷体" w:hint="eastAsia"/>
              </w:rPr>
              <w:t>节点，无</w:t>
            </w:r>
            <w:proofErr w:type="spellStart"/>
            <w:r>
              <w:rPr>
                <w:rFonts w:ascii="楷体" w:eastAsia="楷体" w:hAnsi="楷体" w:cs="楷体"/>
              </w:rPr>
              <w:t>serviceProperty_</w:t>
            </w:r>
            <w:r>
              <w:rPr>
                <w:rFonts w:ascii="楷体" w:eastAsia="楷体" w:hAnsi="楷体" w:cs="楷体" w:hint="eastAsia"/>
              </w:rPr>
              <w:t>old</w:t>
            </w:r>
            <w:proofErr w:type="spellEnd"/>
            <w:r>
              <w:rPr>
                <w:rFonts w:ascii="楷体" w:eastAsia="楷体" w:hAnsi="楷体" w:cs="楷体" w:hint="eastAsia"/>
              </w:rPr>
              <w:t>节点，查询SQL：</w:t>
            </w:r>
          </w:p>
          <w:p w:rsidR="00104ED8" w:rsidRPr="00104ED8" w:rsidRDefault="00104ED8">
            <w:pPr>
              <w:jc w:val="left"/>
              <w:rPr>
                <w:rFonts w:ascii="楷体" w:eastAsia="楷体" w:hAnsi="楷体" w:cs="楷体" w:hint="eastAsia"/>
                <w:color w:val="FF0000"/>
              </w:rPr>
            </w:pPr>
            <w:r w:rsidRPr="00104ED8">
              <w:rPr>
                <w:rFonts w:ascii="楷体" w:eastAsia="楷体" w:hAnsi="楷体" w:cs="楷体"/>
                <w:color w:val="FF0000"/>
              </w:rPr>
              <w:t xml:space="preserve">select </w:t>
            </w:r>
            <w:proofErr w:type="spellStart"/>
            <w:r w:rsidRPr="00104ED8">
              <w:rPr>
                <w:rFonts w:ascii="楷体" w:eastAsia="楷体" w:hAnsi="楷体" w:cs="楷体"/>
                <w:color w:val="FF0000"/>
              </w:rPr>
              <w:t>asap.request_type,asap.platform,asap.work_order_request</w:t>
            </w:r>
            <w:proofErr w:type="spellEnd"/>
            <w:r w:rsidRPr="00104ED8">
              <w:rPr>
                <w:rFonts w:ascii="楷体" w:eastAsia="楷体" w:hAnsi="楷体" w:cs="楷体"/>
                <w:color w:val="FF0000"/>
              </w:rPr>
              <w:t xml:space="preserve"> from </w:t>
            </w:r>
            <w:proofErr w:type="spellStart"/>
            <w:r w:rsidRPr="00104ED8">
              <w:rPr>
                <w:rFonts w:ascii="楷体" w:eastAsia="楷体" w:hAnsi="楷体" w:cs="楷体"/>
                <w:color w:val="FF0000"/>
              </w:rPr>
              <w:t>asap_workorder_request</w:t>
            </w:r>
            <w:proofErr w:type="spellEnd"/>
            <w:r w:rsidRPr="00104ED8">
              <w:rPr>
                <w:rFonts w:ascii="楷体" w:eastAsia="楷体" w:hAnsi="楷体" w:cs="楷体"/>
                <w:color w:val="FF0000"/>
              </w:rPr>
              <w:t xml:space="preserve"> asap where </w:t>
            </w:r>
            <w:proofErr w:type="spellStart"/>
            <w:r w:rsidRPr="00104ED8">
              <w:rPr>
                <w:rFonts w:ascii="楷体" w:eastAsia="楷体" w:hAnsi="楷体" w:cs="楷体"/>
                <w:color w:val="FF0000"/>
              </w:rPr>
              <w:t>asap.crm_order_number</w:t>
            </w:r>
            <w:proofErr w:type="spellEnd"/>
            <w:r w:rsidRPr="00104ED8">
              <w:rPr>
                <w:rFonts w:ascii="楷体" w:eastAsia="楷体" w:hAnsi="楷体" w:cs="楷体"/>
                <w:color w:val="FF0000"/>
              </w:rPr>
              <w:t xml:space="preserve"> = '</w:t>
            </w:r>
            <w:r w:rsidRPr="00104ED8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104ED8">
              <w:rPr>
                <w:rFonts w:ascii="楷体" w:eastAsia="楷体" w:hAnsi="楷体" w:cs="楷体"/>
                <w:color w:val="FF0000"/>
              </w:rPr>
              <w:t>';</w:t>
            </w:r>
          </w:p>
          <w:p w:rsidR="00104ED8" w:rsidRDefault="00104ED8">
            <w:pPr>
              <w:jc w:val="left"/>
              <w:rPr>
                <w:rFonts w:ascii="楷体" w:eastAsia="楷体" w:hAnsi="楷体" w:cs="楷体" w:hint="eastAsia"/>
              </w:rPr>
            </w:pPr>
          </w:p>
          <w:p w:rsidR="00D92EC6" w:rsidRDefault="00104ED8">
            <w:pPr>
              <w:jc w:val="left"/>
              <w:rPr>
                <w:rFonts w:ascii="楷体" w:eastAsia="楷体" w:hAnsi="楷体" w:cs="楷体" w:hint="eastAsia"/>
              </w:rPr>
            </w:pPr>
            <w:r>
              <w:rPr>
                <w:rFonts w:ascii="楷体" w:eastAsia="楷体" w:hAnsi="楷体" w:cs="楷体" w:hint="eastAsia"/>
              </w:rPr>
              <w:t>家庭网关在</w:t>
            </w:r>
            <w:proofErr w:type="spellStart"/>
            <w:r>
              <w:rPr>
                <w:rFonts w:ascii="楷体" w:eastAsia="楷体" w:hAnsi="楷体" w:cs="楷体" w:hint="eastAsia"/>
              </w:rPr>
              <w:t>pai_workorder_request</w:t>
            </w:r>
            <w:proofErr w:type="spellEnd"/>
            <w:r>
              <w:rPr>
                <w:rFonts w:ascii="楷体" w:eastAsia="楷体" w:hAnsi="楷体" w:cs="楷体" w:hint="eastAsia"/>
              </w:rPr>
              <w:t>，验证</w:t>
            </w:r>
            <w:proofErr w:type="spellStart"/>
            <w:r>
              <w:rPr>
                <w:rFonts w:ascii="楷体" w:eastAsia="楷体" w:hAnsi="楷体" w:cs="楷体" w:hint="eastAsia"/>
              </w:rPr>
              <w:t>action_code</w:t>
            </w:r>
            <w:proofErr w:type="spellEnd"/>
            <w:r>
              <w:rPr>
                <w:rFonts w:ascii="楷体" w:eastAsia="楷体" w:hAnsi="楷体" w:cs="楷体" w:hint="eastAsia"/>
              </w:rPr>
              <w:t>（操作类型）为装，查询SQL：</w:t>
            </w:r>
          </w:p>
          <w:p w:rsidR="00104ED8" w:rsidRDefault="00104ED8" w:rsidP="00104ED8">
            <w:pPr>
              <w:jc w:val="left"/>
              <w:rPr>
                <w:rFonts w:ascii="楷体" w:eastAsia="楷体" w:hAnsi="楷体" w:cs="楷体"/>
              </w:rPr>
            </w:pPr>
            <w:r w:rsidRPr="00104ED8">
              <w:rPr>
                <w:rFonts w:ascii="楷体" w:eastAsia="楷体" w:hAnsi="楷体" w:cs="楷体"/>
                <w:color w:val="FF0000"/>
              </w:rPr>
              <w:t xml:space="preserve">select </w:t>
            </w:r>
            <w:proofErr w:type="spellStart"/>
            <w:r w:rsidRPr="00104ED8">
              <w:rPr>
                <w:rFonts w:ascii="楷体" w:eastAsia="楷体" w:hAnsi="楷体" w:cs="楷体"/>
                <w:color w:val="FF0000"/>
              </w:rPr>
              <w:t>t.action_code</w:t>
            </w:r>
            <w:proofErr w:type="spellEnd"/>
            <w:r w:rsidRPr="00104ED8">
              <w:rPr>
                <w:rFonts w:ascii="楷体" w:eastAsia="楷体" w:hAnsi="楷体" w:cs="楷体"/>
                <w:color w:val="FF0000"/>
              </w:rPr>
              <w:t xml:space="preserve"> from </w:t>
            </w:r>
            <w:proofErr w:type="spellStart"/>
            <w:r w:rsidRPr="00104ED8">
              <w:rPr>
                <w:rFonts w:ascii="楷体" w:eastAsia="楷体" w:hAnsi="楷体" w:cs="楷体"/>
                <w:color w:val="FF0000"/>
              </w:rPr>
              <w:t>pai_workorder_request</w:t>
            </w:r>
            <w:proofErr w:type="spellEnd"/>
            <w:r w:rsidRPr="00104ED8">
              <w:rPr>
                <w:rFonts w:ascii="楷体" w:eastAsia="楷体" w:hAnsi="楷体" w:cs="楷体"/>
                <w:color w:val="FF0000"/>
              </w:rPr>
              <w:t xml:space="preserve"> t where </w:t>
            </w:r>
            <w:proofErr w:type="spellStart"/>
            <w:r w:rsidRPr="00104ED8">
              <w:rPr>
                <w:rFonts w:ascii="楷体" w:eastAsia="楷体" w:hAnsi="楷体" w:cs="楷体"/>
                <w:color w:val="FF0000"/>
              </w:rPr>
              <w:t>crm_order_number</w:t>
            </w:r>
            <w:proofErr w:type="spellEnd"/>
            <w:r w:rsidRPr="00104ED8">
              <w:rPr>
                <w:rFonts w:ascii="楷体" w:eastAsia="楷体" w:hAnsi="楷体" w:cs="楷体"/>
                <w:color w:val="FF0000"/>
              </w:rPr>
              <w:t xml:space="preserve"> = '</w:t>
            </w:r>
            <w:r>
              <w:rPr>
                <w:rFonts w:ascii="楷体" w:eastAsia="楷体" w:hAnsi="楷体" w:cs="楷体" w:hint="eastAsia"/>
                <w:color w:val="FF0000"/>
              </w:rPr>
              <w:t>订单号</w:t>
            </w:r>
            <w:bookmarkStart w:id="0" w:name="_GoBack"/>
            <w:bookmarkEnd w:id="0"/>
            <w:r w:rsidRPr="00104ED8">
              <w:rPr>
                <w:rFonts w:ascii="楷体" w:eastAsia="楷体" w:hAnsi="楷体" w:cs="楷体"/>
                <w:color w:val="FF0000"/>
              </w:rPr>
              <w:t>';</w:t>
            </w:r>
          </w:p>
        </w:tc>
        <w:tc>
          <w:tcPr>
            <w:tcW w:w="1870" w:type="dxa"/>
          </w:tcPr>
          <w:p w:rsidR="00D92EC6" w:rsidRDefault="00104ED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D92EC6" w:rsidRDefault="00104ED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准备综资无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资源停机的固定电话“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37470162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37470177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</w:tc>
      </w:tr>
    </w:tbl>
    <w:p w:rsidR="00D92EC6" w:rsidRDefault="00104ED8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>五、测试设计评审记录：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D92EC6" w:rsidRDefault="00104ED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lastRenderedPageBreak/>
        <w:t>注释</w:t>
      </w:r>
    </w:p>
    <w:p w:rsidR="00D92EC6" w:rsidRDefault="00104ED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D92EC6" w:rsidRDefault="00D92EC6"/>
    <w:p w:rsidR="00D92EC6" w:rsidRDefault="00D92EC6"/>
    <w:p w:rsidR="00D92EC6" w:rsidRDefault="00D92EC6"/>
    <w:sectPr w:rsidR="00D9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048A74"/>
    <w:multiLevelType w:val="singleLevel"/>
    <w:tmpl w:val="A6048A74"/>
    <w:lvl w:ilvl="0">
      <w:start w:val="1"/>
      <w:numFmt w:val="decimal"/>
      <w:suff w:val="space"/>
      <w:lvlText w:val="%1."/>
      <w:lvlJc w:val="left"/>
    </w:lvl>
  </w:abstractNum>
  <w:abstractNum w:abstractNumId="1">
    <w:nsid w:val="AFE91C2A"/>
    <w:multiLevelType w:val="singleLevel"/>
    <w:tmpl w:val="AFE91C2A"/>
    <w:lvl w:ilvl="0">
      <w:start w:val="1"/>
      <w:numFmt w:val="decimal"/>
      <w:suff w:val="space"/>
      <w:lvlText w:val="%1."/>
      <w:lvlJc w:val="left"/>
    </w:lvl>
  </w:abstractNum>
  <w:abstractNum w:abstractNumId="2">
    <w:nsid w:val="B4CBCC13"/>
    <w:multiLevelType w:val="singleLevel"/>
    <w:tmpl w:val="B4CBCC13"/>
    <w:lvl w:ilvl="0">
      <w:start w:val="1"/>
      <w:numFmt w:val="decimal"/>
      <w:suff w:val="space"/>
      <w:lvlText w:val="%1."/>
      <w:lvlJc w:val="left"/>
    </w:lvl>
  </w:abstractNum>
  <w:abstractNum w:abstractNumId="3">
    <w:nsid w:val="C943EB96"/>
    <w:multiLevelType w:val="singleLevel"/>
    <w:tmpl w:val="C943EB96"/>
    <w:lvl w:ilvl="0">
      <w:start w:val="1"/>
      <w:numFmt w:val="decimal"/>
      <w:suff w:val="space"/>
      <w:lvlText w:val="%1."/>
      <w:lvlJc w:val="left"/>
    </w:lvl>
  </w:abstractNum>
  <w:abstractNum w:abstractNumId="4">
    <w:nsid w:val="E7858A1E"/>
    <w:multiLevelType w:val="singleLevel"/>
    <w:tmpl w:val="E7858A1E"/>
    <w:lvl w:ilvl="0">
      <w:start w:val="1"/>
      <w:numFmt w:val="decimal"/>
      <w:suff w:val="space"/>
      <w:lvlText w:val="%1."/>
      <w:lvlJc w:val="left"/>
    </w:lvl>
  </w:abstractNum>
  <w:abstractNum w:abstractNumId="5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6ECD3C9"/>
    <w:multiLevelType w:val="singleLevel"/>
    <w:tmpl w:val="46ECD3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4ED8"/>
    <w:rsid w:val="00172A27"/>
    <w:rsid w:val="00D92EC6"/>
    <w:rsid w:val="18ED7DA0"/>
    <w:rsid w:val="2374299B"/>
    <w:rsid w:val="30B14923"/>
    <w:rsid w:val="31704F28"/>
    <w:rsid w:val="633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title">
    <w:name w:val="pagetitle"/>
    <w:basedOn w:val="a0"/>
    <w:rPr>
      <w:b/>
      <w:sz w:val="24"/>
      <w:szCs w:val="24"/>
    </w:rPr>
  </w:style>
  <w:style w:type="character" w:customStyle="1" w:styleId="print">
    <w:name w:val="print"/>
    <w:basedOn w:val="a0"/>
    <w:rPr>
      <w:sz w:val="16"/>
      <w:szCs w:val="16"/>
    </w:rPr>
  </w:style>
  <w:style w:type="character" w:customStyle="1" w:styleId="required">
    <w:name w:val="required"/>
    <w:basedOn w:val="a0"/>
    <w:rPr>
      <w:color w:val="BB0000"/>
      <w:sz w:val="16"/>
      <w:szCs w:val="16"/>
    </w:rPr>
  </w:style>
  <w:style w:type="character" w:customStyle="1" w:styleId="small">
    <w:name w:val="small"/>
    <w:basedOn w:val="a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title">
    <w:name w:val="pagetitle"/>
    <w:basedOn w:val="a0"/>
    <w:rPr>
      <w:b/>
      <w:sz w:val="24"/>
      <w:szCs w:val="24"/>
    </w:rPr>
  </w:style>
  <w:style w:type="character" w:customStyle="1" w:styleId="print">
    <w:name w:val="print"/>
    <w:basedOn w:val="a0"/>
    <w:rPr>
      <w:sz w:val="16"/>
      <w:szCs w:val="16"/>
    </w:rPr>
  </w:style>
  <w:style w:type="character" w:customStyle="1" w:styleId="required">
    <w:name w:val="required"/>
    <w:basedOn w:val="a0"/>
    <w:rPr>
      <w:color w:val="BB0000"/>
      <w:sz w:val="16"/>
      <w:szCs w:val="16"/>
    </w:rPr>
  </w:style>
  <w:style w:type="character" w:customStyle="1" w:styleId="small">
    <w:name w:val="small"/>
    <w:basedOn w:val="a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2014-10-29T12:08:00Z</dcterms:created>
  <dcterms:modified xsi:type="dcterms:W3CDTF">2020-04-16T01:29:00Z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