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svg" ContentType="image/svg+xml"/>
  <Override PartName="/word/media/image5.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28" w:firstLineChars="600"/>
        <w:jc w:val="both"/>
        <w:rPr>
          <w:rFonts w:hint="eastAsia" w:ascii="宋体" w:hAnsi="宋体" w:eastAsia="宋体"/>
          <w:b/>
          <w:bCs/>
          <w:sz w:val="32"/>
          <w:szCs w:val="32"/>
        </w:rPr>
      </w:pPr>
      <w:r>
        <w:rPr>
          <w:rFonts w:ascii="宋体" w:hAnsi="宋体" w:eastAsia="宋体"/>
          <w:b/>
          <w:bCs/>
          <w:sz w:val="32"/>
          <w:szCs w:val="32"/>
        </w:rPr>
        <w:softHyphen/>
      </w:r>
      <w:r>
        <w:rPr>
          <w:rFonts w:ascii="宋体" w:hAnsi="宋体" w:eastAsia="宋体"/>
          <w:b/>
          <w:bCs/>
          <w:sz w:val="32"/>
          <w:szCs w:val="32"/>
        </w:rPr>
        <w:softHyphen/>
      </w:r>
      <w:r>
        <w:rPr>
          <w:rFonts w:ascii="宋体" w:hAnsi="宋体" w:eastAsia="宋体"/>
          <w:b/>
          <w:bCs/>
          <w:sz w:val="32"/>
          <w:szCs w:val="32"/>
        </w:rPr>
        <w:softHyphen/>
      </w:r>
      <w:r>
        <w:rPr>
          <w:rFonts w:hint="eastAsia" w:ascii="宋体" w:hAnsi="宋体" w:eastAsia="宋体"/>
          <w:b/>
          <w:bCs/>
          <w:sz w:val="32"/>
          <w:szCs w:val="32"/>
        </w:rPr>
        <w:t>轻量化自动调制分类技术研究</w:t>
      </w:r>
    </w:p>
    <w:p>
      <w:p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研究背景与研究现状</w:t>
      </w:r>
    </w:p>
    <w:p>
      <w:pPr>
        <w:ind w:firstLine="480" w:firstLineChars="200"/>
        <w:rPr>
          <w:rFonts w:ascii="宋体" w:hAnsi="宋体" w:eastAsia="宋体"/>
          <w:sz w:val="24"/>
          <w:szCs w:val="24"/>
        </w:rPr>
      </w:pPr>
      <w:r>
        <w:rPr>
          <w:rFonts w:ascii="宋体" w:hAnsi="宋体" w:eastAsia="宋体"/>
          <w:sz w:val="24"/>
          <w:szCs w:val="24"/>
        </w:rPr>
        <w:t>当前，第五代移动通信技术（5G）已经成为推动信息化社会发展的关键力量之一。为了进一步实现未来社会的信息化愿景，全球各国政府和机构已经开始着手研究第六代移动通信技术（6G）。2019年11月3日，中国也正式开启了6G的研究和开发工作。2022年1月，华为发布了名为《6G：无线通信新征程》的白皮书，强调了6G将是一种集通信、感知和计算等多种能力于一体的更先进的下一代移动通信系统。华为定义6G的目标是超越人与人、人与物的连接，实现万物互联。然而，尽管移动通信和物联网等无线电技术的快速发展提升了社会生产效率，为人们的生活带来了极大的便利，但同时也带来了复杂多变的通信体系和调制模式，频谱资源的紧张，背景噪声和干扰的显著增加，以及日益复杂的电磁环境，这些都给无线电监测和频谱管理技术带来了巨大的挑战。</w:t>
      </w:r>
    </w:p>
    <w:p>
      <w:pPr>
        <w:ind w:firstLine="480" w:firstLineChars="200"/>
        <w:rPr>
          <w:rFonts w:ascii="宋体" w:hAnsi="宋体" w:eastAsia="宋体"/>
          <w:sz w:val="24"/>
          <w:szCs w:val="24"/>
        </w:rPr>
      </w:pPr>
      <w:r>
        <w:rPr>
          <w:rFonts w:ascii="宋体" w:hAnsi="宋体" w:eastAsia="宋体"/>
          <w:sz w:val="24"/>
          <w:szCs w:val="24"/>
        </w:rPr>
        <w:t>从</w:t>
      </w:r>
      <w:r>
        <w:rPr>
          <w:rFonts w:ascii="宋体" w:hAnsi="宋体" w:eastAsia="宋体"/>
          <w:b/>
          <w:bCs/>
          <w:sz w:val="24"/>
          <w:szCs w:val="24"/>
        </w:rPr>
        <w:t>民用角度</w:t>
      </w:r>
      <w:r>
        <w:rPr>
          <w:rFonts w:ascii="宋体" w:hAnsi="宋体" w:eastAsia="宋体"/>
          <w:sz w:val="24"/>
          <w:szCs w:val="24"/>
        </w:rPr>
        <w:t>来看，无线电监测与频谱管理技术的提高，有利于排查无线电干扰源、优化基站布局和协调频谱资源，可以提高民航、电网等行业的运行效率。因此，研究精确、快速、智能的无线电监测与频谱管理先进理论与关键技术是十分重要的。从</w:t>
      </w:r>
      <w:r>
        <w:rPr>
          <w:rFonts w:ascii="宋体" w:hAnsi="宋体" w:eastAsia="宋体"/>
          <w:b/>
          <w:bCs/>
          <w:sz w:val="24"/>
          <w:szCs w:val="24"/>
        </w:rPr>
        <w:t>军事角度</w:t>
      </w:r>
      <w:r>
        <w:rPr>
          <w:rFonts w:ascii="宋体" w:hAnsi="宋体" w:eastAsia="宋体"/>
          <w:sz w:val="24"/>
          <w:szCs w:val="24"/>
        </w:rPr>
        <w:t>来看，先进的无线电监测与频谱管理技术是保障国家电磁频谱安全、掌握“制电磁权”的关键技术之一，也是现代“电磁战”的核心之一。2020年10月，美国国防部发布了《电磁频谱优势战略》，其中提到美军将电磁战与频谱管理融合为统一的电磁频谱作战，并且明确指出电磁频谱优势可确保持续频谱接入，这是实现陆、海、空、天和网络空间优势的基础，也是获得“全域作战”优势的关键。无论是上世纪的越南战争、海湾战争，还是2022年的俄乌战争，无不验证了在现在战争中如果能够快速分析电磁态势、掌握“制电磁权”是可以左右战争进程的。</w:t>
      </w:r>
    </w:p>
    <w:p>
      <w:pPr>
        <w:ind w:firstLine="480" w:firstLineChars="200"/>
        <w:rPr>
          <w:rFonts w:ascii="宋体" w:hAnsi="宋体" w:eastAsia="宋体"/>
          <w:sz w:val="24"/>
          <w:szCs w:val="24"/>
        </w:rPr>
      </w:pPr>
      <w:r>
        <w:rPr>
          <w:rFonts w:hint="eastAsia" w:ascii="宋体" w:hAnsi="宋体" w:eastAsia="宋体"/>
          <w:sz w:val="24"/>
          <w:szCs w:val="24"/>
        </w:rPr>
        <w:t>自动调制分类技术作为</w:t>
      </w:r>
      <w:r>
        <w:rPr>
          <w:rFonts w:ascii="宋体" w:hAnsi="宋体" w:eastAsia="宋体"/>
          <w:sz w:val="24"/>
          <w:szCs w:val="24"/>
        </w:rPr>
        <w:t>无线电监测与频谱管理技术的重要组成部分</w:t>
      </w:r>
      <w:r>
        <w:rPr>
          <w:rFonts w:hint="eastAsia" w:ascii="宋体" w:hAnsi="宋体" w:eastAsia="宋体"/>
          <w:sz w:val="24"/>
          <w:szCs w:val="24"/>
        </w:rPr>
        <w:t>，早在2</w:t>
      </w:r>
      <w:r>
        <w:rPr>
          <w:rFonts w:ascii="宋体" w:hAnsi="宋体" w:eastAsia="宋体"/>
          <w:sz w:val="24"/>
          <w:szCs w:val="24"/>
        </w:rPr>
        <w:t>011</w:t>
      </w:r>
      <w:r>
        <w:rPr>
          <w:rFonts w:hint="eastAsia" w:ascii="宋体" w:hAnsi="宋体" w:eastAsia="宋体"/>
          <w:sz w:val="24"/>
          <w:szCs w:val="24"/>
        </w:rPr>
        <w:t>年，</w:t>
      </w:r>
      <w:r>
        <w:rPr>
          <w:rFonts w:ascii="宋体" w:hAnsi="宋体" w:eastAsia="宋体"/>
          <w:sz w:val="24"/>
          <w:szCs w:val="24"/>
        </w:rPr>
        <w:t>国际电信联盟在编号为ITU-R SM.1392-2的建议书《发展中国家频谱监测系统的基本要求》的2.2中</w:t>
      </w:r>
      <w:r>
        <w:rPr>
          <w:rFonts w:hint="eastAsia" w:ascii="宋体" w:hAnsi="宋体" w:eastAsia="宋体"/>
          <w:sz w:val="24"/>
          <w:szCs w:val="24"/>
        </w:rPr>
        <w:t>节</w:t>
      </w:r>
      <w:r>
        <w:rPr>
          <w:rFonts w:ascii="宋体" w:hAnsi="宋体" w:eastAsia="宋体"/>
          <w:sz w:val="24"/>
          <w:szCs w:val="24"/>
        </w:rPr>
        <w:t>提出，频谱监测系统的总体任务与具体任务应当包含</w:t>
      </w:r>
      <w:r>
        <w:rPr>
          <w:rFonts w:ascii="宋体" w:hAnsi="宋体" w:eastAsia="宋体"/>
          <w:b/>
          <w:bCs/>
          <w:sz w:val="24"/>
          <w:szCs w:val="24"/>
        </w:rPr>
        <w:t>调制测量、信号分析和发射机识别</w:t>
      </w:r>
      <w:r>
        <w:rPr>
          <w:rFonts w:ascii="宋体" w:hAnsi="宋体" w:eastAsia="宋体"/>
          <w:sz w:val="24"/>
          <w:szCs w:val="24"/>
        </w:rPr>
        <w:t>。并且在5.6节中指出，无线电信号的识别是无线电测量业务中最难完成的工作之</w:t>
      </w:r>
      <w:r>
        <w:rPr>
          <w:rFonts w:hint="eastAsia" w:ascii="宋体" w:hAnsi="宋体" w:eastAsia="宋体"/>
          <w:sz w:val="24"/>
          <w:szCs w:val="24"/>
        </w:rPr>
        <w:t>一；</w:t>
      </w:r>
      <w:r>
        <w:rPr>
          <w:rFonts w:ascii="宋体" w:hAnsi="宋体" w:eastAsia="宋体"/>
          <w:sz w:val="24"/>
          <w:szCs w:val="24"/>
        </w:rPr>
        <w:t>2017年1月，我国无线电管理中心公布了一项名为《工信部无 2016379 号-10 数字信号调制参数测量与调制类型识</w:t>
      </w:r>
      <w:r>
        <w:rPr>
          <w:rFonts w:hint="eastAsia" w:ascii="宋体" w:hAnsi="宋体" w:eastAsia="宋体"/>
          <w:sz w:val="24"/>
          <w:szCs w:val="24"/>
        </w:rPr>
        <w:t>别方法》的监测类标准规范；在</w:t>
      </w:r>
      <w:r>
        <w:rPr>
          <w:rFonts w:ascii="宋体" w:hAnsi="宋体" w:eastAsia="宋体"/>
          <w:sz w:val="24"/>
          <w:szCs w:val="24"/>
        </w:rPr>
        <w:t>2018年6月，美国陆军快速能力办公室组织了一场总奖金高达15万美元的</w:t>
      </w:r>
      <w:r>
        <w:rPr>
          <w:rFonts w:ascii="宋体" w:hAnsi="宋体" w:eastAsia="宋体"/>
          <w:b/>
          <w:bCs/>
          <w:sz w:val="24"/>
          <w:szCs w:val="24"/>
        </w:rPr>
        <w:t>盲信号分类挑战赛</w:t>
      </w:r>
      <w:r>
        <w:rPr>
          <w:rFonts w:ascii="宋体" w:hAnsi="宋体" w:eastAsia="宋体"/>
          <w:sz w:val="24"/>
          <w:szCs w:val="24"/>
        </w:rPr>
        <w:t>，其分类目标包括24种调制信号</w:t>
      </w:r>
      <w:r>
        <w:rPr>
          <w:rFonts w:hint="eastAsia" w:ascii="宋体" w:hAnsi="宋体" w:eastAsia="宋体"/>
          <w:sz w:val="24"/>
          <w:szCs w:val="24"/>
        </w:rPr>
        <w:t>；</w:t>
      </w:r>
      <w:r>
        <w:rPr>
          <w:rFonts w:ascii="宋体" w:hAnsi="宋体" w:eastAsia="宋体"/>
          <w:sz w:val="24"/>
          <w:szCs w:val="24"/>
        </w:rPr>
        <w:t>2022年，第十届中国计算机学会大数据与计算智能大赛也设置了</w:t>
      </w:r>
      <w:r>
        <w:rPr>
          <w:rFonts w:ascii="宋体" w:hAnsi="宋体" w:eastAsia="宋体"/>
          <w:b/>
          <w:bCs/>
          <w:sz w:val="24"/>
          <w:szCs w:val="24"/>
        </w:rPr>
        <w:t>电磁信号调制方式识别赛道</w:t>
      </w:r>
      <w:r>
        <w:rPr>
          <w:rFonts w:ascii="宋体" w:hAnsi="宋体" w:eastAsia="宋体"/>
          <w:sz w:val="24"/>
          <w:szCs w:val="24"/>
        </w:rPr>
        <w:t>。</w:t>
      </w:r>
      <w:r>
        <w:rPr>
          <w:rFonts w:hint="eastAsia" w:ascii="宋体" w:hAnsi="宋体" w:eastAsia="宋体"/>
          <w:sz w:val="24"/>
          <w:szCs w:val="24"/>
        </w:rPr>
        <w:t>以上</w:t>
      </w:r>
      <w:r>
        <w:rPr>
          <w:rFonts w:ascii="宋体" w:hAnsi="宋体" w:eastAsia="宋体"/>
          <w:sz w:val="24"/>
          <w:szCs w:val="24"/>
        </w:rPr>
        <w:t>都充分显示了</w:t>
      </w:r>
      <w:r>
        <w:rPr>
          <w:rFonts w:hint="eastAsia" w:ascii="宋体" w:hAnsi="宋体" w:eastAsia="宋体"/>
          <w:sz w:val="24"/>
          <w:szCs w:val="24"/>
        </w:rPr>
        <w:t>自动调制分类</w:t>
      </w:r>
      <w:r>
        <w:rPr>
          <w:rFonts w:ascii="宋体" w:hAnsi="宋体" w:eastAsia="宋体"/>
          <w:sz w:val="24"/>
          <w:szCs w:val="24"/>
        </w:rPr>
        <w:t>对于无线电监测与频谱管理技术的重要性。</w:t>
      </w:r>
    </w:p>
    <w:p>
      <w:pPr>
        <w:ind w:firstLine="482" w:firstLineChars="200"/>
        <w:rPr>
          <w:rFonts w:hint="eastAsia" w:ascii="宋体" w:hAnsi="宋体" w:eastAsia="宋体" w:cs="宋体"/>
          <w:b/>
          <w:bCs/>
          <w:sz w:val="24"/>
          <w:szCs w:val="24"/>
          <w:lang w:eastAsia="zh-CN"/>
        </w:rPr>
      </w:pPr>
      <w:r>
        <w:rPr>
          <w:rFonts w:hint="eastAsia" w:ascii="宋体" w:hAnsi="宋体" w:eastAsia="宋体" w:cs="宋体"/>
          <w:b/>
          <w:bCs/>
          <w:sz w:val="24"/>
          <w:szCs w:val="24"/>
        </w:rPr>
        <w:t>目前基于深度学习的自动调制分类（AMC）方法面临参数冗余复杂度高</w:t>
      </w:r>
      <w:r>
        <w:rPr>
          <w:rFonts w:hint="eastAsia" w:ascii="宋体" w:hAnsi="宋体" w:eastAsia="宋体" w:cs="宋体"/>
          <w:b/>
          <w:bCs/>
          <w:sz w:val="24"/>
          <w:szCs w:val="24"/>
          <w:lang w:val="en-US" w:eastAsia="zh-CN"/>
        </w:rPr>
        <w:t>的挑战。</w:t>
      </w:r>
      <w:r>
        <w:rPr>
          <w:rFonts w:hint="eastAsia" w:ascii="宋体" w:hAnsi="宋体" w:eastAsia="宋体" w:cs="宋体"/>
          <w:b/>
          <w:bCs/>
          <w:sz w:val="24"/>
          <w:szCs w:val="24"/>
        </w:rPr>
        <w:t>模型的参数量通常在十万级别，这不仅增加了模型的复杂性，也对存储和计算资源提出了更高的要求。这种参数冗余复杂度高的特点使得如何在保证精度的前提下，设计轻量化的模型，减少模型参数，并加速模型推理，成为了研究的关键。尽管图形处理单元（GPU）能够加速深度学习模型的训练和推理过程，但对于单个样本，这些模型的推理速度仍然只能达到毫秒级别，可能无法满足实时或近实时响应的应用需求。</w:t>
      </w:r>
    </w:p>
    <w:p>
      <w:pPr>
        <w:ind w:firstLine="48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针对参数冗余复杂度这一挑战，设计出轻量化神经模型，在保证精度不发生较大变化的同时，减少模型参数量和计算量。</w:t>
      </w:r>
    </w:p>
    <w:p>
      <w:pPr>
        <w:ind w:firstLine="482"/>
      </w:pPr>
    </w:p>
    <w:p>
      <w:pPr>
        <w:ind w:firstLine="420" w:firstLineChars="200"/>
        <w:rPr>
          <w:rFonts w:hint="default" w:ascii="宋体" w:hAnsi="宋体" w:eastAsia="宋体"/>
          <w:lang w:val="en-US" w:eastAsia="zh-CN"/>
        </w:rPr>
      </w:pPr>
      <w:r>
        <w:rPr>
          <w:rFonts w:hint="eastAsia" w:ascii="宋体" w:hAnsi="宋体" w:eastAsia="宋体"/>
          <w:lang w:val="en-US" w:eastAsia="zh-CN"/>
        </w:rPr>
        <w:t>基于深度可分离卷积和自适应小波变换的模型架构：</w:t>
      </w:r>
    </w:p>
    <w:p>
      <w:pPr>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drawing>
          <wp:inline distT="0" distB="0" distL="114300" distR="114300">
            <wp:extent cx="5271770" cy="3764915"/>
            <wp:effectExtent l="0" t="0" r="5080" b="6985"/>
            <wp:docPr id="3" name="图片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png"/>
                    <pic:cNvPicPr>
                      <a:picLocks noChangeAspect="1"/>
                    </pic:cNvPicPr>
                  </pic:nvPicPr>
                  <pic:blipFill>
                    <a:blip r:embed="rId4"/>
                    <a:stretch>
                      <a:fillRect/>
                    </a:stretch>
                  </pic:blipFill>
                  <pic:spPr>
                    <a:xfrm>
                      <a:off x="0" y="0"/>
                      <a:ext cx="5271770" cy="3764915"/>
                    </a:xfrm>
                    <a:prstGeom prst="rect">
                      <a:avLst/>
                    </a:prstGeom>
                  </pic:spPr>
                </pic:pic>
              </a:graphicData>
            </a:graphic>
          </wp:inline>
        </w:drawing>
      </w:r>
    </w:p>
    <w:p>
      <w:p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深度可分离卷积：</w:t>
      </w:r>
      <w:r>
        <w:rPr>
          <w:rFonts w:hint="eastAsia" w:ascii="宋体" w:hAnsi="宋体" w:eastAsia="宋体" w:cs="宋体"/>
          <w:b w:val="0"/>
          <w:bCs w:val="0"/>
          <w:sz w:val="24"/>
          <w:szCs w:val="24"/>
          <w:lang w:val="en-US" w:eastAsia="zh-CN"/>
        </w:rPr>
        <w:t>普通卷积中，每个卷积核会同时作用于输入数据的所有通道。因此，卷积核的参数数量与输入数据的通道数和输出数据的通道数成正比，深度可分离卷积将卷积操作分为两个步骤：深度卷积和逐点卷积。深度卷积只使用一个卷积核对每个输入通道进行卷积，而逐点卷积使用 1x1 的卷积核进行跨通道的卷积操作，参数量远小于普通卷积参数量。</w:t>
      </w:r>
    </w:p>
    <w:p>
      <w:p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自适应小波变换</w:t>
      </w:r>
      <w:r>
        <w:rPr>
          <w:rFonts w:hint="eastAsia" w:ascii="宋体" w:hAnsi="宋体" w:eastAsia="宋体" w:cs="宋体"/>
          <w:b w:val="0"/>
          <w:bCs w:val="0"/>
          <w:sz w:val="24"/>
          <w:szCs w:val="24"/>
          <w:lang w:val="en-US" w:eastAsia="zh-CN"/>
        </w:rPr>
        <w:t>：小波变换是一种通过控制尺度和位移因子，将信号分解为固定频率分量的数学方法，它能够分析不同时间分辨率的不同频率的信号，现在大多数小波分析方法小波基函数固定。对于特定场景的最优基函数的选择大多仍然是基于专家的经验。然而固定小波是次优的，因为它限制了适应性，不能适应不同的数据。</w:t>
      </w:r>
    </w:p>
    <w:p>
      <w:p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自适应小波，也称为第二代小波，是一种简单而强大的构造与第一代小波具有相同性质的小波的方法。该方法基于神经网络利用信号中相邻样本之间的强相关性来分离低频（近似）和高频（细节）信息。</w:t>
      </w:r>
    </w:p>
    <w:p>
      <w:p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初步实验结果：</w:t>
      </w:r>
    </w:p>
    <w:p>
      <w:p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数据集介绍：</w:t>
      </w:r>
    </w:p>
    <w:p>
      <w:pPr>
        <w:ind w:firstLine="42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RadioML2016.10a数据集是由意大利国家研究委员会（CNR）的无线通信研究所（CNIT）开发的，包含了22万个信号样本，涵盖11种调制方式和20个中心频率的组合。每个样本包含10个采样点的数据，采样率为24MHz，采样深度为16位，时长为128微秒，同时每个样本还包含标签信息，用于标识调制方式和中心频率。这个数据集为研究人员提供了丰富的无线信号数据，有助于开展自动调制分类和无线信号识别的研究和实验。</w:t>
      </w:r>
    </w:p>
    <w:p>
      <w:pPr>
        <w:jc w:val="center"/>
        <w:rPr>
          <w:rFonts w:hint="default" w:ascii="宋体" w:hAnsi="宋体" w:eastAsia="宋体" w:cs="宋体"/>
          <w:b w:val="0"/>
          <w:bCs w:val="0"/>
          <w:sz w:val="24"/>
          <w:szCs w:val="24"/>
          <w:lang w:val="en-US" w:eastAsia="zh-CN"/>
        </w:rPr>
      </w:pPr>
    </w:p>
    <w:p>
      <w:pPr>
        <w:rPr>
          <w:rFonts w:hint="eastAsia"/>
          <w:lang w:val="en-US" w:eastAsia="zh-CN"/>
        </w:rPr>
      </w:pPr>
      <w:r>
        <w:rPr>
          <w:rFonts w:hint="eastAsia"/>
          <w:lang w:val="en-US" w:eastAsia="zh-CN"/>
        </w:rPr>
        <w:t>实验结果</w:t>
      </w:r>
    </w:p>
    <w:p>
      <w:pPr>
        <w:jc w:val="center"/>
        <w:rPr>
          <w:rFonts w:hint="default"/>
          <w:b/>
          <w:bCs/>
          <w:lang w:val="en-US" w:eastAsia="zh-CN"/>
        </w:rPr>
      </w:pPr>
      <w:r>
        <w:rPr>
          <w:rFonts w:hint="eastAsia"/>
          <w:b/>
          <w:bCs/>
          <w:lang w:val="en-US" w:eastAsia="zh-CN"/>
        </w:rPr>
        <w:t>在RML2016.10A数据集上的实验结果</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2"/>
        <w:gridCol w:w="1205"/>
        <w:gridCol w:w="1201"/>
        <w:gridCol w:w="1205"/>
        <w:gridCol w:w="1277"/>
        <w:gridCol w:w="1213"/>
        <w:gridCol w:w="1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12" w:type="dxa"/>
          </w:tcPr>
          <w:p>
            <w:pPr>
              <w:jc w:val="center"/>
              <w:rPr>
                <w:rFonts w:hint="default"/>
                <w:vertAlign w:val="baseline"/>
                <w:lang w:val="en-US" w:eastAsia="zh-CN"/>
              </w:rPr>
            </w:pPr>
            <w:r>
              <w:rPr>
                <w:rFonts w:hint="eastAsia"/>
                <w:vertAlign w:val="baseline"/>
                <w:lang w:val="en-US" w:eastAsia="zh-CN"/>
              </w:rPr>
              <w:t>模型名</w:t>
            </w:r>
          </w:p>
        </w:tc>
        <w:tc>
          <w:tcPr>
            <w:tcW w:w="1205" w:type="dxa"/>
          </w:tcPr>
          <w:p>
            <w:pPr>
              <w:jc w:val="center"/>
              <w:rPr>
                <w:rFonts w:hint="default"/>
                <w:vertAlign w:val="baseline"/>
                <w:lang w:val="en-US" w:eastAsia="zh-CN"/>
              </w:rPr>
            </w:pPr>
            <w:r>
              <w:rPr>
                <w:rFonts w:hint="eastAsia"/>
                <w:vertAlign w:val="baseline"/>
                <w:lang w:val="en-US" w:eastAsia="zh-CN"/>
              </w:rPr>
              <w:t>OA</w:t>
            </w:r>
          </w:p>
        </w:tc>
        <w:tc>
          <w:tcPr>
            <w:tcW w:w="1201" w:type="dxa"/>
          </w:tcPr>
          <w:p>
            <w:pPr>
              <w:jc w:val="center"/>
              <w:rPr>
                <w:rFonts w:hint="default"/>
                <w:vertAlign w:val="baseline"/>
                <w:lang w:val="en-US" w:eastAsia="zh-CN"/>
              </w:rPr>
            </w:pPr>
            <w:r>
              <w:rPr>
                <w:rFonts w:hint="eastAsia"/>
                <w:vertAlign w:val="baseline"/>
                <w:lang w:val="en-US" w:eastAsia="zh-CN"/>
              </w:rPr>
              <w:t>MF1</w:t>
            </w:r>
          </w:p>
        </w:tc>
        <w:tc>
          <w:tcPr>
            <w:tcW w:w="1205" w:type="dxa"/>
          </w:tcPr>
          <w:p>
            <w:pPr>
              <w:jc w:val="center"/>
              <w:rPr>
                <w:rFonts w:hint="default"/>
                <w:vertAlign w:val="baseline"/>
                <w:lang w:val="en-US" w:eastAsia="zh-CN"/>
              </w:rPr>
            </w:pPr>
            <w:r>
              <w:rPr>
                <w:rFonts w:hint="eastAsia"/>
                <w:vertAlign w:val="baseline"/>
                <w:lang w:val="en-US" w:eastAsia="zh-CN"/>
              </w:rPr>
              <w:t>kappa</w:t>
            </w:r>
          </w:p>
        </w:tc>
        <w:tc>
          <w:tcPr>
            <w:tcW w:w="1277" w:type="dxa"/>
          </w:tcPr>
          <w:p>
            <w:pPr>
              <w:jc w:val="center"/>
              <w:rPr>
                <w:rFonts w:hint="default"/>
                <w:vertAlign w:val="baseline"/>
                <w:lang w:val="en-US" w:eastAsia="zh-CN"/>
              </w:rPr>
            </w:pPr>
            <w:r>
              <w:rPr>
                <w:rFonts w:hint="eastAsia"/>
                <w:vertAlign w:val="baseline"/>
                <w:lang w:val="en-US" w:eastAsia="zh-CN"/>
              </w:rPr>
              <w:t>参数量</w:t>
            </w:r>
          </w:p>
        </w:tc>
        <w:tc>
          <w:tcPr>
            <w:tcW w:w="1213" w:type="dxa"/>
          </w:tcPr>
          <w:p>
            <w:pPr>
              <w:jc w:val="center"/>
              <w:rPr>
                <w:rFonts w:hint="default"/>
                <w:vertAlign w:val="baseline"/>
                <w:lang w:val="en-US" w:eastAsia="zh-CN"/>
              </w:rPr>
            </w:pPr>
            <w:r>
              <w:rPr>
                <w:rFonts w:hint="eastAsia"/>
                <w:vertAlign w:val="baseline"/>
                <w:lang w:val="en-US" w:eastAsia="zh-CN"/>
              </w:rPr>
              <w:t>MACC</w:t>
            </w:r>
          </w:p>
        </w:tc>
        <w:tc>
          <w:tcPr>
            <w:tcW w:w="1209" w:type="dxa"/>
          </w:tcPr>
          <w:p>
            <w:pPr>
              <w:jc w:val="center"/>
              <w:rPr>
                <w:rFonts w:hint="default"/>
                <w:vertAlign w:val="baseline"/>
                <w:lang w:val="en-US" w:eastAsia="zh-CN"/>
              </w:rPr>
            </w:pPr>
            <w:r>
              <w:rPr>
                <w:rFonts w:hint="eastAsia"/>
                <w:vertAlign w:val="baseline"/>
                <w:lang w:val="en-US" w:eastAsia="zh-CN"/>
              </w:rPr>
              <w:t>FLOPS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default"/>
                <w:vertAlign w:val="baseline"/>
                <w:lang w:val="en-US" w:eastAsia="zh-CN"/>
              </w:rPr>
            </w:pPr>
            <w:r>
              <w:rPr>
                <w:rFonts w:hint="eastAsia"/>
                <w:vertAlign w:val="baseline"/>
                <w:lang w:val="en-US" w:eastAsia="zh-CN"/>
              </w:rPr>
              <w:t>ours</w:t>
            </w:r>
          </w:p>
        </w:tc>
        <w:tc>
          <w:tcPr>
            <w:tcW w:w="1205" w:type="dxa"/>
          </w:tcPr>
          <w:p>
            <w:pPr>
              <w:jc w:val="center"/>
              <w:rPr>
                <w:rFonts w:hint="default"/>
                <w:vertAlign w:val="baseline"/>
                <w:lang w:val="en-US" w:eastAsia="zh-CN"/>
              </w:rPr>
            </w:pPr>
            <w:r>
              <w:rPr>
                <w:rFonts w:hint="eastAsia"/>
                <w:b/>
                <w:bCs/>
                <w:color w:val="FF0000"/>
                <w:vertAlign w:val="baseline"/>
                <w:lang w:val="en-US" w:eastAsia="zh-CN"/>
              </w:rPr>
              <w:t>0.6214</w:t>
            </w:r>
          </w:p>
        </w:tc>
        <w:tc>
          <w:tcPr>
            <w:tcW w:w="1201" w:type="dxa"/>
          </w:tcPr>
          <w:p>
            <w:pPr>
              <w:jc w:val="center"/>
              <w:rPr>
                <w:rFonts w:hint="default"/>
                <w:vertAlign w:val="baseline"/>
                <w:lang w:val="en-US" w:eastAsia="zh-CN"/>
              </w:rPr>
            </w:pPr>
            <w:r>
              <w:rPr>
                <w:rFonts w:hint="eastAsia"/>
                <w:b/>
                <w:bCs/>
                <w:color w:val="FF0000"/>
                <w:vertAlign w:val="baseline"/>
                <w:lang w:val="en-US" w:eastAsia="zh-CN"/>
              </w:rPr>
              <w:t>0.6423</w:t>
            </w:r>
          </w:p>
        </w:tc>
        <w:tc>
          <w:tcPr>
            <w:tcW w:w="1205" w:type="dxa"/>
          </w:tcPr>
          <w:p>
            <w:pPr>
              <w:jc w:val="center"/>
              <w:rPr>
                <w:rFonts w:hint="default"/>
                <w:vertAlign w:val="baseline"/>
                <w:lang w:val="en-US" w:eastAsia="zh-CN"/>
              </w:rPr>
            </w:pPr>
            <w:r>
              <w:rPr>
                <w:rFonts w:hint="eastAsia"/>
                <w:b/>
                <w:bCs/>
                <w:color w:val="FF0000"/>
                <w:vertAlign w:val="baseline"/>
                <w:lang w:val="en-US" w:eastAsia="zh-CN"/>
              </w:rPr>
              <w:t>0.5815</w:t>
            </w:r>
          </w:p>
        </w:tc>
        <w:tc>
          <w:tcPr>
            <w:tcW w:w="1277" w:type="dxa"/>
          </w:tcPr>
          <w:p>
            <w:pPr>
              <w:jc w:val="center"/>
              <w:rPr>
                <w:rFonts w:hint="default"/>
                <w:vertAlign w:val="baseline"/>
                <w:lang w:val="en-US" w:eastAsia="zh-CN"/>
              </w:rPr>
            </w:pPr>
            <w:r>
              <w:rPr>
                <w:rFonts w:hint="eastAsia"/>
                <w:b/>
                <w:bCs/>
                <w:vertAlign w:val="baseline"/>
                <w:lang w:val="en-US" w:eastAsia="zh-CN"/>
              </w:rPr>
              <w:t>9.899K</w:t>
            </w:r>
          </w:p>
        </w:tc>
        <w:tc>
          <w:tcPr>
            <w:tcW w:w="1213" w:type="dxa"/>
          </w:tcPr>
          <w:p>
            <w:pPr>
              <w:jc w:val="center"/>
              <w:rPr>
                <w:rFonts w:hint="default"/>
                <w:vertAlign w:val="baseline"/>
                <w:lang w:val="en-US" w:eastAsia="zh-CN"/>
              </w:rPr>
            </w:pPr>
            <w:r>
              <w:rPr>
                <w:rFonts w:hint="eastAsia"/>
                <w:b/>
                <w:bCs/>
                <w:vertAlign w:val="baseline"/>
                <w:lang w:val="en-US" w:eastAsia="zh-CN"/>
              </w:rPr>
              <w:t>0.53M</w:t>
            </w:r>
          </w:p>
        </w:tc>
        <w:tc>
          <w:tcPr>
            <w:tcW w:w="1209" w:type="dxa"/>
          </w:tcPr>
          <w:p>
            <w:pPr>
              <w:jc w:val="center"/>
              <w:rPr>
                <w:rFonts w:hint="default"/>
                <w:vertAlign w:val="baseline"/>
                <w:lang w:val="en-US" w:eastAsia="zh-CN"/>
              </w:rPr>
            </w:pPr>
            <w:r>
              <w:rPr>
                <w:rFonts w:hint="eastAsia"/>
                <w:b/>
                <w:bCs/>
                <w:vertAlign w:val="baseline"/>
                <w:lang w:val="en-US" w:eastAsia="zh-CN"/>
              </w:rPr>
              <w:t>0.52M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default"/>
                <w:vertAlign w:val="baseline"/>
                <w:lang w:val="en-US" w:eastAsia="zh-CN"/>
              </w:rPr>
            </w:pPr>
            <w:r>
              <w:rPr>
                <w:rFonts w:hint="eastAsia"/>
                <w:vertAlign w:val="baseline"/>
                <w:lang w:val="en-US" w:eastAsia="zh-CN"/>
              </w:rPr>
              <w:t>CLDNN</w:t>
            </w:r>
          </w:p>
        </w:tc>
        <w:tc>
          <w:tcPr>
            <w:tcW w:w="1205" w:type="dxa"/>
          </w:tcPr>
          <w:p>
            <w:pPr>
              <w:jc w:val="center"/>
              <w:rPr>
                <w:rFonts w:hint="default"/>
                <w:b w:val="0"/>
                <w:bCs w:val="0"/>
                <w:vertAlign w:val="baseline"/>
                <w:lang w:val="en-US" w:eastAsia="zh-CN"/>
              </w:rPr>
            </w:pPr>
            <w:r>
              <w:rPr>
                <w:rFonts w:hint="eastAsia"/>
                <w:b w:val="0"/>
                <w:bCs w:val="0"/>
                <w:vertAlign w:val="baseline"/>
                <w:lang w:val="en-US" w:eastAsia="zh-CN"/>
              </w:rPr>
              <w:t>0.5871</w:t>
            </w:r>
          </w:p>
        </w:tc>
        <w:tc>
          <w:tcPr>
            <w:tcW w:w="1201" w:type="dxa"/>
          </w:tcPr>
          <w:p>
            <w:pPr>
              <w:jc w:val="center"/>
              <w:rPr>
                <w:rFonts w:hint="default"/>
                <w:vertAlign w:val="baseline"/>
                <w:lang w:val="en-US" w:eastAsia="zh-CN"/>
              </w:rPr>
            </w:pPr>
            <w:r>
              <w:rPr>
                <w:rFonts w:hint="eastAsia"/>
                <w:vertAlign w:val="baseline"/>
                <w:lang w:val="en-US" w:eastAsia="zh-CN"/>
              </w:rPr>
              <w:t>0.6091</w:t>
            </w:r>
          </w:p>
        </w:tc>
        <w:tc>
          <w:tcPr>
            <w:tcW w:w="1205" w:type="dxa"/>
          </w:tcPr>
          <w:p>
            <w:pPr>
              <w:jc w:val="center"/>
              <w:rPr>
                <w:rFonts w:hint="default"/>
                <w:vertAlign w:val="baseline"/>
                <w:lang w:val="en-US" w:eastAsia="zh-CN"/>
              </w:rPr>
            </w:pPr>
            <w:r>
              <w:rPr>
                <w:rFonts w:hint="eastAsia"/>
                <w:vertAlign w:val="baseline"/>
                <w:lang w:val="en-US" w:eastAsia="zh-CN"/>
              </w:rPr>
              <w:t>0.5447</w:t>
            </w:r>
          </w:p>
        </w:tc>
        <w:tc>
          <w:tcPr>
            <w:tcW w:w="1277" w:type="dxa"/>
          </w:tcPr>
          <w:p>
            <w:pPr>
              <w:jc w:val="center"/>
              <w:rPr>
                <w:rFonts w:hint="default"/>
                <w:vertAlign w:val="baseline"/>
                <w:lang w:val="en-US" w:eastAsia="zh-CN"/>
              </w:rPr>
            </w:pPr>
            <w:r>
              <w:rPr>
                <w:rFonts w:hint="eastAsia"/>
                <w:vertAlign w:val="baseline"/>
                <w:lang w:val="en-US" w:eastAsia="zh-CN"/>
              </w:rPr>
              <w:t>160K</w:t>
            </w:r>
          </w:p>
        </w:tc>
        <w:tc>
          <w:tcPr>
            <w:tcW w:w="1213" w:type="dxa"/>
          </w:tcPr>
          <w:p>
            <w:pPr>
              <w:jc w:val="center"/>
              <w:rPr>
                <w:rFonts w:hint="default"/>
                <w:vertAlign w:val="baseline"/>
                <w:lang w:val="en-US" w:eastAsia="zh-CN"/>
              </w:rPr>
            </w:pPr>
            <w:r>
              <w:rPr>
                <w:rFonts w:hint="eastAsia"/>
                <w:vertAlign w:val="baseline"/>
                <w:lang w:val="en-US" w:eastAsia="zh-CN"/>
              </w:rPr>
              <w:t>5.74M</w:t>
            </w:r>
          </w:p>
        </w:tc>
        <w:tc>
          <w:tcPr>
            <w:tcW w:w="1209" w:type="dxa"/>
          </w:tcPr>
          <w:p>
            <w:pPr>
              <w:jc w:val="center"/>
              <w:rPr>
                <w:rFonts w:hint="default"/>
                <w:vertAlign w:val="baseline"/>
                <w:lang w:val="en-US" w:eastAsia="zh-CN"/>
              </w:rPr>
            </w:pPr>
            <w:r>
              <w:rPr>
                <w:rFonts w:hint="eastAsia"/>
                <w:vertAlign w:val="baseline"/>
                <w:lang w:val="en-US" w:eastAsia="zh-CN"/>
              </w:rPr>
              <w:t>11.486M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default"/>
                <w:vertAlign w:val="baseline"/>
                <w:lang w:val="en-US" w:eastAsia="zh-CN"/>
              </w:rPr>
            </w:pPr>
            <w:r>
              <w:rPr>
                <w:rFonts w:hint="eastAsia"/>
                <w:vertAlign w:val="baseline"/>
                <w:lang w:val="en-US" w:eastAsia="zh-CN"/>
              </w:rPr>
              <w:t>MCLDNN</w:t>
            </w:r>
          </w:p>
        </w:tc>
        <w:tc>
          <w:tcPr>
            <w:tcW w:w="1205" w:type="dxa"/>
          </w:tcPr>
          <w:p>
            <w:pPr>
              <w:jc w:val="center"/>
              <w:rPr>
                <w:rFonts w:hint="default"/>
                <w:vertAlign w:val="baseline"/>
                <w:lang w:val="en-US" w:eastAsia="zh-CN"/>
              </w:rPr>
            </w:pPr>
            <w:r>
              <w:rPr>
                <w:rFonts w:hint="eastAsia"/>
                <w:vertAlign w:val="baseline"/>
                <w:lang w:val="en-US" w:eastAsia="zh-CN"/>
              </w:rPr>
              <w:t>0.6203</w:t>
            </w:r>
          </w:p>
        </w:tc>
        <w:tc>
          <w:tcPr>
            <w:tcW w:w="1201" w:type="dxa"/>
          </w:tcPr>
          <w:p>
            <w:pPr>
              <w:jc w:val="center"/>
              <w:rPr>
                <w:rFonts w:hint="default"/>
                <w:vertAlign w:val="baseline"/>
                <w:lang w:val="en-US" w:eastAsia="zh-CN"/>
              </w:rPr>
            </w:pPr>
            <w:r>
              <w:rPr>
                <w:rFonts w:hint="eastAsia"/>
                <w:vertAlign w:val="baseline"/>
                <w:lang w:val="en-US" w:eastAsia="zh-CN"/>
              </w:rPr>
              <w:t>0.6381</w:t>
            </w:r>
          </w:p>
        </w:tc>
        <w:tc>
          <w:tcPr>
            <w:tcW w:w="1205" w:type="dxa"/>
          </w:tcPr>
          <w:p>
            <w:pPr>
              <w:jc w:val="center"/>
              <w:rPr>
                <w:rFonts w:hint="default"/>
                <w:vertAlign w:val="baseline"/>
                <w:lang w:val="en-US" w:eastAsia="zh-CN"/>
              </w:rPr>
            </w:pPr>
            <w:r>
              <w:rPr>
                <w:rFonts w:hint="eastAsia"/>
                <w:vertAlign w:val="baseline"/>
                <w:lang w:val="en-US" w:eastAsia="zh-CN"/>
              </w:rPr>
              <w:t>0.5803</w:t>
            </w:r>
          </w:p>
        </w:tc>
        <w:tc>
          <w:tcPr>
            <w:tcW w:w="1277" w:type="dxa"/>
          </w:tcPr>
          <w:p>
            <w:pPr>
              <w:jc w:val="center"/>
              <w:rPr>
                <w:rFonts w:hint="default"/>
                <w:vertAlign w:val="baseline"/>
                <w:lang w:val="en-US" w:eastAsia="zh-CN"/>
              </w:rPr>
            </w:pPr>
            <w:r>
              <w:rPr>
                <w:rFonts w:hint="eastAsia"/>
                <w:vertAlign w:val="baseline"/>
                <w:lang w:val="en-US" w:eastAsia="zh-CN"/>
              </w:rPr>
              <w:t>380K</w:t>
            </w:r>
          </w:p>
        </w:tc>
        <w:tc>
          <w:tcPr>
            <w:tcW w:w="1213" w:type="dxa"/>
          </w:tcPr>
          <w:p>
            <w:pPr>
              <w:jc w:val="center"/>
              <w:rPr>
                <w:rFonts w:hint="default"/>
                <w:vertAlign w:val="baseline"/>
                <w:lang w:val="en-US" w:eastAsia="zh-CN"/>
              </w:rPr>
            </w:pPr>
            <w:r>
              <w:rPr>
                <w:rFonts w:hint="eastAsia"/>
                <w:vertAlign w:val="baseline"/>
                <w:lang w:val="en-US" w:eastAsia="zh-CN"/>
              </w:rPr>
              <w:t>20.94M</w:t>
            </w:r>
          </w:p>
        </w:tc>
        <w:tc>
          <w:tcPr>
            <w:tcW w:w="1209" w:type="dxa"/>
          </w:tcPr>
          <w:p>
            <w:pPr>
              <w:jc w:val="center"/>
              <w:rPr>
                <w:rFonts w:hint="default"/>
                <w:vertAlign w:val="baseline"/>
                <w:lang w:val="en-US" w:eastAsia="zh-CN"/>
              </w:rPr>
            </w:pPr>
            <w:r>
              <w:rPr>
                <w:rFonts w:hint="eastAsia"/>
                <w:vertAlign w:val="baseline"/>
                <w:lang w:val="en-US" w:eastAsia="zh-CN"/>
              </w:rPr>
              <w:t>41.876M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default"/>
                <w:vertAlign w:val="baseline"/>
                <w:lang w:val="en-US" w:eastAsia="zh-CN"/>
              </w:rPr>
            </w:pPr>
            <w:r>
              <w:rPr>
                <w:rFonts w:hint="eastAsia"/>
                <w:vertAlign w:val="baseline"/>
                <w:lang w:val="en-US" w:eastAsia="zh-CN"/>
              </w:rPr>
              <w:t>ICAMC</w:t>
            </w:r>
          </w:p>
        </w:tc>
        <w:tc>
          <w:tcPr>
            <w:tcW w:w="1205" w:type="dxa"/>
          </w:tcPr>
          <w:p>
            <w:pPr>
              <w:jc w:val="center"/>
              <w:rPr>
                <w:rFonts w:hint="default"/>
                <w:vertAlign w:val="baseline"/>
                <w:lang w:val="en-US" w:eastAsia="zh-CN"/>
              </w:rPr>
            </w:pPr>
            <w:r>
              <w:rPr>
                <w:rFonts w:hint="eastAsia"/>
                <w:vertAlign w:val="baseline"/>
                <w:lang w:val="en-US" w:eastAsia="zh-CN"/>
              </w:rPr>
              <w:t>0.5681</w:t>
            </w:r>
          </w:p>
        </w:tc>
        <w:tc>
          <w:tcPr>
            <w:tcW w:w="1201" w:type="dxa"/>
          </w:tcPr>
          <w:p>
            <w:pPr>
              <w:jc w:val="center"/>
              <w:rPr>
                <w:rFonts w:hint="default"/>
                <w:vertAlign w:val="baseline"/>
                <w:lang w:val="en-US" w:eastAsia="zh-CN"/>
              </w:rPr>
            </w:pPr>
            <w:r>
              <w:rPr>
                <w:rFonts w:hint="eastAsia"/>
                <w:vertAlign w:val="baseline"/>
                <w:lang w:val="en-US" w:eastAsia="zh-CN"/>
              </w:rPr>
              <w:t>0.5983</w:t>
            </w:r>
          </w:p>
        </w:tc>
        <w:tc>
          <w:tcPr>
            <w:tcW w:w="1205" w:type="dxa"/>
          </w:tcPr>
          <w:p>
            <w:pPr>
              <w:jc w:val="center"/>
              <w:rPr>
                <w:rFonts w:hint="default"/>
                <w:vertAlign w:val="baseline"/>
                <w:lang w:val="en-US" w:eastAsia="zh-CN"/>
              </w:rPr>
            </w:pPr>
            <w:r>
              <w:rPr>
                <w:rFonts w:hint="eastAsia"/>
                <w:vertAlign w:val="baseline"/>
                <w:lang w:val="en-US" w:eastAsia="zh-CN"/>
              </w:rPr>
              <w:t>0.5401</w:t>
            </w:r>
          </w:p>
        </w:tc>
        <w:tc>
          <w:tcPr>
            <w:tcW w:w="1277" w:type="dxa"/>
          </w:tcPr>
          <w:p>
            <w:pPr>
              <w:jc w:val="center"/>
              <w:rPr>
                <w:rFonts w:hint="default"/>
                <w:vertAlign w:val="baseline"/>
                <w:lang w:val="en-US" w:eastAsia="zh-CN"/>
              </w:rPr>
            </w:pPr>
            <w:r>
              <w:rPr>
                <w:rFonts w:hint="eastAsia"/>
                <w:vertAlign w:val="baseline"/>
                <w:lang w:val="en-US" w:eastAsia="zh-CN"/>
              </w:rPr>
              <w:t>1210K</w:t>
            </w:r>
          </w:p>
        </w:tc>
        <w:tc>
          <w:tcPr>
            <w:tcW w:w="1213" w:type="dxa"/>
          </w:tcPr>
          <w:p>
            <w:pPr>
              <w:jc w:val="center"/>
              <w:rPr>
                <w:rFonts w:hint="default"/>
                <w:vertAlign w:val="baseline"/>
                <w:lang w:val="en-US" w:eastAsia="zh-CN"/>
              </w:rPr>
            </w:pPr>
            <w:r>
              <w:rPr>
                <w:rFonts w:hint="eastAsia"/>
                <w:vertAlign w:val="baseline"/>
                <w:lang w:val="en-US" w:eastAsia="zh-CN"/>
              </w:rPr>
              <w:t>7.7M</w:t>
            </w:r>
          </w:p>
        </w:tc>
        <w:tc>
          <w:tcPr>
            <w:tcW w:w="1209" w:type="dxa"/>
          </w:tcPr>
          <w:p>
            <w:pPr>
              <w:jc w:val="center"/>
              <w:rPr>
                <w:rFonts w:hint="default"/>
                <w:vertAlign w:val="baseline"/>
                <w:lang w:val="en-US" w:eastAsia="zh-CN"/>
              </w:rPr>
            </w:pPr>
            <w:r>
              <w:rPr>
                <w:rFonts w:hint="eastAsia"/>
                <w:vertAlign w:val="baseline"/>
                <w:lang w:val="en-US" w:eastAsia="zh-CN"/>
              </w:rPr>
              <w:t>15.403M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default"/>
                <w:vertAlign w:val="baseline"/>
                <w:lang w:val="en-US" w:eastAsia="zh-CN"/>
              </w:rPr>
            </w:pPr>
            <w:r>
              <w:rPr>
                <w:rFonts w:hint="eastAsia"/>
                <w:vertAlign w:val="baseline"/>
                <w:lang w:val="en-US" w:eastAsia="zh-CN"/>
              </w:rPr>
              <w:t>AMC-Net</w:t>
            </w:r>
          </w:p>
        </w:tc>
        <w:tc>
          <w:tcPr>
            <w:tcW w:w="1205" w:type="dxa"/>
          </w:tcPr>
          <w:p>
            <w:pPr>
              <w:jc w:val="center"/>
              <w:rPr>
                <w:rFonts w:hint="default"/>
                <w:b/>
                <w:bCs/>
                <w:vertAlign w:val="baseline"/>
                <w:lang w:val="en-US" w:eastAsia="zh-CN"/>
              </w:rPr>
            </w:pPr>
            <w:r>
              <w:rPr>
                <w:rFonts w:hint="eastAsia"/>
                <w:b/>
                <w:bCs/>
                <w:vertAlign w:val="baseline"/>
                <w:lang w:val="en-US" w:eastAsia="zh-CN"/>
              </w:rPr>
              <w:t>0.6251</w:t>
            </w:r>
          </w:p>
        </w:tc>
        <w:tc>
          <w:tcPr>
            <w:tcW w:w="1201" w:type="dxa"/>
          </w:tcPr>
          <w:p>
            <w:pPr>
              <w:jc w:val="center"/>
              <w:rPr>
                <w:rFonts w:hint="default"/>
                <w:vertAlign w:val="baseline"/>
                <w:lang w:val="en-US" w:eastAsia="zh-CN"/>
              </w:rPr>
            </w:pPr>
            <w:r>
              <w:rPr>
                <w:rFonts w:hint="eastAsia"/>
                <w:b/>
                <w:bCs/>
                <w:vertAlign w:val="baseline"/>
                <w:lang w:val="en-US" w:eastAsia="zh-CN"/>
              </w:rPr>
              <w:t>0.6483</w:t>
            </w:r>
          </w:p>
        </w:tc>
        <w:tc>
          <w:tcPr>
            <w:tcW w:w="1205" w:type="dxa"/>
          </w:tcPr>
          <w:p>
            <w:pPr>
              <w:jc w:val="center"/>
              <w:rPr>
                <w:rFonts w:hint="default"/>
                <w:vertAlign w:val="baseline"/>
                <w:lang w:val="en-US" w:eastAsia="zh-CN"/>
              </w:rPr>
            </w:pPr>
            <w:r>
              <w:rPr>
                <w:rFonts w:hint="eastAsia"/>
                <w:b/>
                <w:bCs/>
                <w:vertAlign w:val="baseline"/>
                <w:lang w:val="en-US" w:eastAsia="zh-CN"/>
              </w:rPr>
              <w:t>0.5885</w:t>
            </w:r>
          </w:p>
        </w:tc>
        <w:tc>
          <w:tcPr>
            <w:tcW w:w="1277" w:type="dxa"/>
          </w:tcPr>
          <w:p>
            <w:pPr>
              <w:jc w:val="center"/>
              <w:rPr>
                <w:rFonts w:hint="default"/>
                <w:vertAlign w:val="baseline"/>
                <w:lang w:val="en-US" w:eastAsia="zh-CN"/>
              </w:rPr>
            </w:pPr>
            <w:r>
              <w:rPr>
                <w:rFonts w:hint="eastAsia"/>
                <w:vertAlign w:val="baseline"/>
                <w:lang w:val="en-US" w:eastAsia="zh-CN"/>
              </w:rPr>
              <w:t>470K</w:t>
            </w:r>
          </w:p>
        </w:tc>
        <w:tc>
          <w:tcPr>
            <w:tcW w:w="1213" w:type="dxa"/>
          </w:tcPr>
          <w:p>
            <w:pPr>
              <w:jc w:val="center"/>
              <w:rPr>
                <w:rFonts w:hint="default"/>
                <w:vertAlign w:val="baseline"/>
                <w:lang w:val="en-US" w:eastAsia="zh-CN"/>
              </w:rPr>
            </w:pPr>
            <w:r>
              <w:rPr>
                <w:rFonts w:hint="eastAsia"/>
                <w:vertAlign w:val="baseline"/>
                <w:lang w:val="en-US" w:eastAsia="zh-CN"/>
              </w:rPr>
              <w:t>9.4M</w:t>
            </w:r>
          </w:p>
        </w:tc>
        <w:tc>
          <w:tcPr>
            <w:tcW w:w="1209" w:type="dxa"/>
          </w:tcPr>
          <w:p>
            <w:pPr>
              <w:jc w:val="center"/>
              <w:rPr>
                <w:rFonts w:hint="eastAsia"/>
                <w:vertAlign w:val="baseline"/>
                <w:lang w:val="en-US" w:eastAsia="zh-CN"/>
              </w:rPr>
            </w:pPr>
            <w:r>
              <w:rPr>
                <w:rFonts w:hint="eastAsia"/>
                <w:vertAlign w:val="baseline"/>
                <w:lang w:val="en-US" w:eastAsia="zh-CN"/>
              </w:rPr>
              <w:t>18.799M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default"/>
                <w:vertAlign w:val="baseline"/>
                <w:lang w:val="en-US" w:eastAsia="zh-CN"/>
              </w:rPr>
            </w:pPr>
            <w:r>
              <w:rPr>
                <w:rFonts w:hint="eastAsia"/>
                <w:vertAlign w:val="baseline"/>
                <w:lang w:val="en-US" w:eastAsia="zh-CN"/>
              </w:rPr>
              <w:t>CDSCNN</w:t>
            </w:r>
          </w:p>
        </w:tc>
        <w:tc>
          <w:tcPr>
            <w:tcW w:w="1205" w:type="dxa"/>
          </w:tcPr>
          <w:p>
            <w:pPr>
              <w:jc w:val="center"/>
              <w:rPr>
                <w:rFonts w:hint="default"/>
                <w:vertAlign w:val="baseline"/>
                <w:lang w:val="en-US" w:eastAsia="zh-CN"/>
              </w:rPr>
            </w:pPr>
            <w:r>
              <w:rPr>
                <w:rFonts w:hint="eastAsia"/>
                <w:vertAlign w:val="baseline"/>
                <w:lang w:val="en-US" w:eastAsia="zh-CN"/>
              </w:rPr>
              <w:t>0.592</w:t>
            </w:r>
          </w:p>
        </w:tc>
        <w:tc>
          <w:tcPr>
            <w:tcW w:w="1201" w:type="dxa"/>
          </w:tcPr>
          <w:p>
            <w:pPr>
              <w:jc w:val="center"/>
              <w:rPr>
                <w:rFonts w:hint="default"/>
                <w:vertAlign w:val="baseline"/>
                <w:lang w:val="en-US" w:eastAsia="zh-CN"/>
              </w:rPr>
            </w:pPr>
            <w:r>
              <w:rPr>
                <w:rFonts w:hint="eastAsia"/>
                <w:vertAlign w:val="baseline"/>
                <w:lang w:val="en-US" w:eastAsia="zh-CN"/>
              </w:rPr>
              <w:t>0.606</w:t>
            </w:r>
          </w:p>
        </w:tc>
        <w:tc>
          <w:tcPr>
            <w:tcW w:w="1205" w:type="dxa"/>
          </w:tcPr>
          <w:p>
            <w:pPr>
              <w:jc w:val="center"/>
              <w:rPr>
                <w:rFonts w:hint="default"/>
                <w:vertAlign w:val="baseline"/>
                <w:lang w:val="en-US" w:eastAsia="zh-CN"/>
              </w:rPr>
            </w:pPr>
            <w:r>
              <w:rPr>
                <w:rFonts w:hint="eastAsia"/>
                <w:vertAlign w:val="baseline"/>
                <w:lang w:val="en-US" w:eastAsia="zh-CN"/>
              </w:rPr>
              <w:t>0.5512</w:t>
            </w:r>
          </w:p>
        </w:tc>
        <w:tc>
          <w:tcPr>
            <w:tcW w:w="1277" w:type="dxa"/>
          </w:tcPr>
          <w:p>
            <w:pPr>
              <w:jc w:val="center"/>
              <w:rPr>
                <w:rFonts w:hint="default"/>
                <w:vertAlign w:val="baseline"/>
                <w:lang w:val="en-US" w:eastAsia="zh-CN"/>
              </w:rPr>
            </w:pPr>
            <w:r>
              <w:rPr>
                <w:rFonts w:hint="eastAsia"/>
                <w:vertAlign w:val="baseline"/>
                <w:lang w:val="en-US" w:eastAsia="zh-CN"/>
              </w:rPr>
              <w:t>860K</w:t>
            </w:r>
          </w:p>
        </w:tc>
        <w:tc>
          <w:tcPr>
            <w:tcW w:w="1213" w:type="dxa"/>
          </w:tcPr>
          <w:p>
            <w:pPr>
              <w:jc w:val="center"/>
              <w:rPr>
                <w:rFonts w:hint="default"/>
                <w:vertAlign w:val="baseline"/>
                <w:lang w:val="en-US" w:eastAsia="zh-CN"/>
              </w:rPr>
            </w:pPr>
            <w:r>
              <w:rPr>
                <w:rFonts w:hint="eastAsia"/>
                <w:vertAlign w:val="baseline"/>
                <w:lang w:val="en-US" w:eastAsia="zh-CN"/>
              </w:rPr>
              <w:t>13M</w:t>
            </w:r>
          </w:p>
        </w:tc>
        <w:tc>
          <w:tcPr>
            <w:tcW w:w="1209" w:type="dxa"/>
          </w:tcPr>
          <w:p>
            <w:pPr>
              <w:jc w:val="center"/>
              <w:rPr>
                <w:rFonts w:hint="eastAsia"/>
                <w:vertAlign w:val="baseline"/>
                <w:lang w:val="en-US" w:eastAsia="zh-CN"/>
              </w:rPr>
            </w:pPr>
            <w:r>
              <w:rPr>
                <w:rFonts w:hint="eastAsia"/>
                <w:vertAlign w:val="baseline"/>
                <w:lang w:val="en-US" w:eastAsia="zh-CN"/>
              </w:rPr>
              <w:t>25.998M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default"/>
                <w:vertAlign w:val="baseline"/>
                <w:lang w:val="en-US" w:eastAsia="zh-CN"/>
              </w:rPr>
            </w:pPr>
            <w:r>
              <w:rPr>
                <w:rFonts w:hint="eastAsia"/>
                <w:vertAlign w:val="baseline"/>
                <w:lang w:val="en-US" w:eastAsia="zh-CN"/>
              </w:rPr>
              <w:t>MCNET</w:t>
            </w:r>
          </w:p>
        </w:tc>
        <w:tc>
          <w:tcPr>
            <w:tcW w:w="1205" w:type="dxa"/>
          </w:tcPr>
          <w:p>
            <w:pPr>
              <w:jc w:val="center"/>
              <w:rPr>
                <w:rFonts w:hint="default"/>
                <w:vertAlign w:val="baseline"/>
                <w:lang w:val="en-US" w:eastAsia="zh-CN"/>
              </w:rPr>
            </w:pPr>
            <w:r>
              <w:rPr>
                <w:rFonts w:hint="eastAsia"/>
                <w:vertAlign w:val="baseline"/>
                <w:lang w:val="en-US" w:eastAsia="zh-CN"/>
              </w:rPr>
              <w:t>0.5600</w:t>
            </w:r>
          </w:p>
        </w:tc>
        <w:tc>
          <w:tcPr>
            <w:tcW w:w="1201" w:type="dxa"/>
          </w:tcPr>
          <w:p>
            <w:pPr>
              <w:jc w:val="center"/>
              <w:rPr>
                <w:rFonts w:hint="default"/>
                <w:vertAlign w:val="baseline"/>
                <w:lang w:val="en-US" w:eastAsia="zh-CN"/>
              </w:rPr>
            </w:pPr>
            <w:r>
              <w:rPr>
                <w:rFonts w:hint="eastAsia"/>
                <w:vertAlign w:val="baseline"/>
                <w:lang w:val="en-US" w:eastAsia="zh-CN"/>
              </w:rPr>
              <w:t>0.5912</w:t>
            </w:r>
          </w:p>
        </w:tc>
        <w:tc>
          <w:tcPr>
            <w:tcW w:w="1205" w:type="dxa"/>
          </w:tcPr>
          <w:p>
            <w:pPr>
              <w:jc w:val="center"/>
              <w:rPr>
                <w:rFonts w:hint="default"/>
                <w:vertAlign w:val="baseline"/>
                <w:lang w:val="en-US" w:eastAsia="zh-CN"/>
              </w:rPr>
            </w:pPr>
            <w:r>
              <w:rPr>
                <w:rFonts w:hint="eastAsia"/>
                <w:vertAlign w:val="baseline"/>
                <w:lang w:val="en-US" w:eastAsia="zh-CN"/>
              </w:rPr>
              <w:t>0.5382</w:t>
            </w:r>
          </w:p>
        </w:tc>
        <w:tc>
          <w:tcPr>
            <w:tcW w:w="1277" w:type="dxa"/>
          </w:tcPr>
          <w:p>
            <w:pPr>
              <w:jc w:val="center"/>
              <w:rPr>
                <w:rFonts w:hint="default"/>
                <w:vertAlign w:val="baseline"/>
                <w:lang w:val="en-US" w:eastAsia="zh-CN"/>
              </w:rPr>
            </w:pPr>
            <w:r>
              <w:rPr>
                <w:rFonts w:hint="eastAsia"/>
                <w:vertAlign w:val="baseline"/>
                <w:lang w:val="en-US" w:eastAsia="zh-CN"/>
              </w:rPr>
              <w:t>120K</w:t>
            </w:r>
          </w:p>
        </w:tc>
        <w:tc>
          <w:tcPr>
            <w:tcW w:w="1213" w:type="dxa"/>
          </w:tcPr>
          <w:p>
            <w:pPr>
              <w:jc w:val="center"/>
              <w:rPr>
                <w:rFonts w:hint="default"/>
                <w:vertAlign w:val="baseline"/>
                <w:lang w:val="en-US" w:eastAsia="zh-CN"/>
              </w:rPr>
            </w:pPr>
            <w:r>
              <w:rPr>
                <w:rFonts w:hint="eastAsia"/>
                <w:vertAlign w:val="baseline"/>
                <w:lang w:val="en-US" w:eastAsia="zh-CN"/>
              </w:rPr>
              <w:t>3.44M</w:t>
            </w:r>
          </w:p>
        </w:tc>
        <w:tc>
          <w:tcPr>
            <w:tcW w:w="1209" w:type="dxa"/>
          </w:tcPr>
          <w:p>
            <w:pPr>
              <w:jc w:val="center"/>
              <w:rPr>
                <w:rFonts w:hint="default"/>
                <w:vertAlign w:val="baseline"/>
                <w:lang w:val="en-US" w:eastAsia="zh-CN"/>
              </w:rPr>
            </w:pPr>
            <w:r>
              <w:rPr>
                <w:rFonts w:hint="eastAsia"/>
                <w:vertAlign w:val="baseline"/>
                <w:lang w:val="en-US" w:eastAsia="zh-CN"/>
              </w:rPr>
              <w:t>9.289M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default"/>
                <w:vertAlign w:val="baseline"/>
                <w:lang w:val="en-US" w:eastAsia="zh-CN"/>
              </w:rPr>
            </w:pPr>
            <w:r>
              <w:rPr>
                <w:rFonts w:hint="eastAsia"/>
                <w:vertAlign w:val="baseline"/>
                <w:lang w:val="en-US" w:eastAsia="zh-CN"/>
              </w:rPr>
              <w:t>CNN1D</w:t>
            </w:r>
          </w:p>
        </w:tc>
        <w:tc>
          <w:tcPr>
            <w:tcW w:w="1205" w:type="dxa"/>
          </w:tcPr>
          <w:p>
            <w:pPr>
              <w:jc w:val="center"/>
              <w:rPr>
                <w:rFonts w:hint="default"/>
                <w:vertAlign w:val="baseline"/>
                <w:lang w:val="en-US" w:eastAsia="zh-CN"/>
              </w:rPr>
            </w:pPr>
            <w:r>
              <w:rPr>
                <w:rFonts w:hint="eastAsia"/>
                <w:vertAlign w:val="baseline"/>
                <w:lang w:val="en-US" w:eastAsia="zh-CN"/>
              </w:rPr>
              <w:t>0.578</w:t>
            </w:r>
          </w:p>
        </w:tc>
        <w:tc>
          <w:tcPr>
            <w:tcW w:w="1201" w:type="dxa"/>
          </w:tcPr>
          <w:p>
            <w:pPr>
              <w:jc w:val="center"/>
              <w:rPr>
                <w:rFonts w:hint="default"/>
                <w:vertAlign w:val="baseline"/>
                <w:lang w:val="en-US" w:eastAsia="zh-CN"/>
              </w:rPr>
            </w:pPr>
            <w:r>
              <w:rPr>
                <w:rFonts w:hint="eastAsia"/>
                <w:vertAlign w:val="baseline"/>
                <w:lang w:val="en-US" w:eastAsia="zh-CN"/>
              </w:rPr>
              <w:t>0.593</w:t>
            </w:r>
          </w:p>
        </w:tc>
        <w:tc>
          <w:tcPr>
            <w:tcW w:w="1205" w:type="dxa"/>
          </w:tcPr>
          <w:p>
            <w:pPr>
              <w:jc w:val="center"/>
              <w:rPr>
                <w:rFonts w:hint="default"/>
                <w:vertAlign w:val="baseline"/>
                <w:lang w:val="en-US" w:eastAsia="zh-CN"/>
              </w:rPr>
            </w:pPr>
            <w:r>
              <w:rPr>
                <w:rFonts w:hint="eastAsia"/>
                <w:vertAlign w:val="baseline"/>
                <w:lang w:val="en-US" w:eastAsia="zh-CN"/>
              </w:rPr>
              <w:t>0.5367</w:t>
            </w:r>
          </w:p>
        </w:tc>
        <w:tc>
          <w:tcPr>
            <w:tcW w:w="1277" w:type="dxa"/>
          </w:tcPr>
          <w:p>
            <w:pPr>
              <w:jc w:val="center"/>
              <w:rPr>
                <w:rFonts w:hint="default"/>
                <w:vertAlign w:val="baseline"/>
                <w:lang w:val="en-US" w:eastAsia="zh-CN"/>
              </w:rPr>
            </w:pPr>
            <w:r>
              <w:rPr>
                <w:rFonts w:hint="eastAsia"/>
                <w:vertAlign w:val="baseline"/>
                <w:lang w:val="en-US" w:eastAsia="zh-CN"/>
              </w:rPr>
              <w:t>100K</w:t>
            </w:r>
          </w:p>
        </w:tc>
        <w:tc>
          <w:tcPr>
            <w:tcW w:w="1213" w:type="dxa"/>
          </w:tcPr>
          <w:p>
            <w:pPr>
              <w:jc w:val="center"/>
              <w:rPr>
                <w:rFonts w:hint="default"/>
                <w:vertAlign w:val="baseline"/>
                <w:lang w:val="en-US" w:eastAsia="zh-CN"/>
              </w:rPr>
            </w:pPr>
            <w:r>
              <w:rPr>
                <w:rFonts w:hint="eastAsia"/>
                <w:vertAlign w:val="baseline"/>
                <w:lang w:val="en-US" w:eastAsia="zh-CN"/>
              </w:rPr>
              <w:t>4.77M</w:t>
            </w:r>
          </w:p>
        </w:tc>
        <w:tc>
          <w:tcPr>
            <w:tcW w:w="1209" w:type="dxa"/>
          </w:tcPr>
          <w:p>
            <w:pPr>
              <w:jc w:val="center"/>
              <w:rPr>
                <w:rFonts w:hint="eastAsia"/>
                <w:vertAlign w:val="baseline"/>
                <w:lang w:val="en-US" w:eastAsia="zh-CN"/>
              </w:rPr>
            </w:pPr>
            <w:r>
              <w:rPr>
                <w:rFonts w:hint="eastAsia"/>
                <w:vertAlign w:val="baseline"/>
                <w:lang w:val="en-US" w:eastAsia="zh-CN"/>
              </w:rPr>
              <w:t>9.533M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default"/>
                <w:vertAlign w:val="baseline"/>
                <w:lang w:val="en-US" w:eastAsia="zh-CN"/>
              </w:rPr>
            </w:pPr>
            <w:r>
              <w:rPr>
                <w:rFonts w:hint="eastAsia"/>
                <w:vertAlign w:val="baseline"/>
                <w:lang w:val="en-US" w:eastAsia="zh-CN"/>
              </w:rPr>
              <w:t>CNN2D</w:t>
            </w:r>
          </w:p>
        </w:tc>
        <w:tc>
          <w:tcPr>
            <w:tcW w:w="1205" w:type="dxa"/>
          </w:tcPr>
          <w:p>
            <w:pPr>
              <w:jc w:val="center"/>
              <w:rPr>
                <w:rFonts w:hint="eastAsia"/>
                <w:vertAlign w:val="baseline"/>
                <w:lang w:val="en-US" w:eastAsia="zh-CN"/>
              </w:rPr>
            </w:pPr>
            <w:r>
              <w:rPr>
                <w:rFonts w:hint="eastAsia"/>
                <w:vertAlign w:val="baseline"/>
                <w:lang w:val="en-US" w:eastAsia="zh-CN"/>
              </w:rPr>
              <w:t>0.51036</w:t>
            </w:r>
          </w:p>
        </w:tc>
        <w:tc>
          <w:tcPr>
            <w:tcW w:w="1201" w:type="dxa"/>
          </w:tcPr>
          <w:p>
            <w:pPr>
              <w:jc w:val="center"/>
              <w:rPr>
                <w:rFonts w:hint="eastAsia"/>
                <w:vertAlign w:val="baseline"/>
                <w:lang w:val="en-US" w:eastAsia="zh-CN"/>
              </w:rPr>
            </w:pPr>
            <w:r>
              <w:rPr>
                <w:rFonts w:hint="eastAsia"/>
                <w:vertAlign w:val="baseline"/>
                <w:lang w:val="en-US" w:eastAsia="zh-CN"/>
              </w:rPr>
              <w:t>0.5170</w:t>
            </w:r>
          </w:p>
        </w:tc>
        <w:tc>
          <w:tcPr>
            <w:tcW w:w="1205" w:type="dxa"/>
          </w:tcPr>
          <w:p>
            <w:pPr>
              <w:jc w:val="center"/>
              <w:rPr>
                <w:rFonts w:hint="eastAsia"/>
                <w:vertAlign w:val="baseline"/>
                <w:lang w:val="en-US" w:eastAsia="zh-CN"/>
              </w:rPr>
            </w:pPr>
            <w:r>
              <w:rPr>
                <w:rFonts w:hint="eastAsia"/>
                <w:vertAlign w:val="baseline"/>
                <w:lang w:val="en-US" w:eastAsia="zh-CN"/>
              </w:rPr>
              <w:t>0.4614</w:t>
            </w:r>
          </w:p>
        </w:tc>
        <w:tc>
          <w:tcPr>
            <w:tcW w:w="1277" w:type="dxa"/>
          </w:tcPr>
          <w:p>
            <w:pPr>
              <w:jc w:val="center"/>
              <w:rPr>
                <w:rFonts w:hint="default"/>
                <w:vertAlign w:val="baseline"/>
                <w:lang w:val="en-US" w:eastAsia="zh-CN"/>
              </w:rPr>
            </w:pPr>
            <w:r>
              <w:rPr>
                <w:rFonts w:hint="eastAsia"/>
                <w:vertAlign w:val="baseline"/>
                <w:lang w:val="en-US" w:eastAsia="zh-CN"/>
              </w:rPr>
              <w:t>2764K</w:t>
            </w:r>
          </w:p>
        </w:tc>
        <w:tc>
          <w:tcPr>
            <w:tcW w:w="1213" w:type="dxa"/>
          </w:tcPr>
          <w:p>
            <w:pPr>
              <w:jc w:val="center"/>
              <w:rPr>
                <w:rFonts w:hint="default"/>
                <w:vertAlign w:val="baseline"/>
                <w:lang w:val="en-US" w:eastAsia="zh-CN"/>
              </w:rPr>
            </w:pPr>
            <w:r>
              <w:rPr>
                <w:rFonts w:hint="eastAsia"/>
                <w:vertAlign w:val="baseline"/>
                <w:lang w:val="en-US" w:eastAsia="zh-CN"/>
              </w:rPr>
              <w:t>9.8M</w:t>
            </w:r>
          </w:p>
        </w:tc>
        <w:tc>
          <w:tcPr>
            <w:tcW w:w="1209" w:type="dxa"/>
          </w:tcPr>
          <w:p>
            <w:pPr>
              <w:jc w:val="center"/>
              <w:rPr>
                <w:rFonts w:hint="eastAsia"/>
                <w:vertAlign w:val="baseline"/>
                <w:lang w:val="en-US" w:eastAsia="zh-CN"/>
              </w:rPr>
            </w:pPr>
            <w:r>
              <w:rPr>
                <w:rFonts w:hint="eastAsia"/>
                <w:vertAlign w:val="baseline"/>
                <w:lang w:val="en-US" w:eastAsia="zh-CN"/>
              </w:rPr>
              <w:t>19.594M</w:t>
            </w:r>
          </w:p>
        </w:tc>
      </w:tr>
    </w:tbl>
    <w:p>
      <w:pPr>
        <w:rPr>
          <w:rFonts w:hint="eastAsia"/>
          <w:lang w:val="en-US" w:eastAsia="zh-CN"/>
        </w:rPr>
      </w:pPr>
    </w:p>
    <w:p>
      <w:pPr>
        <w:jc w:val="center"/>
        <w:rPr>
          <w:rFonts w:hint="eastAsia"/>
          <w:b/>
          <w:bCs/>
          <w:lang w:val="en-US" w:eastAsia="zh-CN"/>
        </w:rPr>
      </w:pPr>
      <w:r>
        <w:rPr>
          <w:rFonts w:hint="eastAsia"/>
          <w:b/>
          <w:bCs/>
          <w:lang w:val="en-US" w:eastAsia="zh-CN"/>
        </w:rPr>
        <w:t>在RML2016.10B数据集上的实验结果</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2"/>
        <w:gridCol w:w="1205"/>
        <w:gridCol w:w="1201"/>
        <w:gridCol w:w="1205"/>
        <w:gridCol w:w="1277"/>
        <w:gridCol w:w="1213"/>
        <w:gridCol w:w="1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212" w:type="dxa"/>
          </w:tcPr>
          <w:p>
            <w:pPr>
              <w:jc w:val="center"/>
              <w:rPr>
                <w:rFonts w:hint="default"/>
                <w:vertAlign w:val="baseline"/>
                <w:lang w:val="en-US" w:eastAsia="zh-CN"/>
              </w:rPr>
            </w:pPr>
            <w:r>
              <w:rPr>
                <w:rFonts w:hint="eastAsia"/>
                <w:vertAlign w:val="baseline"/>
                <w:lang w:val="en-US" w:eastAsia="zh-CN"/>
              </w:rPr>
              <w:t>模型名</w:t>
            </w:r>
          </w:p>
        </w:tc>
        <w:tc>
          <w:tcPr>
            <w:tcW w:w="1205" w:type="dxa"/>
          </w:tcPr>
          <w:p>
            <w:pPr>
              <w:jc w:val="center"/>
              <w:rPr>
                <w:rFonts w:hint="default"/>
                <w:vertAlign w:val="baseline"/>
                <w:lang w:val="en-US" w:eastAsia="zh-CN"/>
              </w:rPr>
            </w:pPr>
            <w:r>
              <w:rPr>
                <w:rFonts w:hint="eastAsia"/>
                <w:vertAlign w:val="baseline"/>
                <w:lang w:val="en-US" w:eastAsia="zh-CN"/>
              </w:rPr>
              <w:t>OA</w:t>
            </w:r>
          </w:p>
        </w:tc>
        <w:tc>
          <w:tcPr>
            <w:tcW w:w="1201" w:type="dxa"/>
          </w:tcPr>
          <w:p>
            <w:pPr>
              <w:jc w:val="center"/>
              <w:rPr>
                <w:rFonts w:hint="default"/>
                <w:vertAlign w:val="baseline"/>
                <w:lang w:val="en-US" w:eastAsia="zh-CN"/>
              </w:rPr>
            </w:pPr>
            <w:r>
              <w:rPr>
                <w:rFonts w:hint="eastAsia"/>
                <w:vertAlign w:val="baseline"/>
                <w:lang w:val="en-US" w:eastAsia="zh-CN"/>
              </w:rPr>
              <w:t>MF1</w:t>
            </w:r>
          </w:p>
        </w:tc>
        <w:tc>
          <w:tcPr>
            <w:tcW w:w="1205" w:type="dxa"/>
          </w:tcPr>
          <w:p>
            <w:pPr>
              <w:jc w:val="center"/>
              <w:rPr>
                <w:rFonts w:hint="default"/>
                <w:vertAlign w:val="baseline"/>
                <w:lang w:val="en-US" w:eastAsia="zh-CN"/>
              </w:rPr>
            </w:pPr>
            <w:r>
              <w:rPr>
                <w:rFonts w:hint="eastAsia"/>
                <w:vertAlign w:val="baseline"/>
                <w:lang w:val="en-US" w:eastAsia="zh-CN"/>
              </w:rPr>
              <w:t>kappa</w:t>
            </w:r>
          </w:p>
        </w:tc>
        <w:tc>
          <w:tcPr>
            <w:tcW w:w="1277" w:type="dxa"/>
          </w:tcPr>
          <w:p>
            <w:pPr>
              <w:jc w:val="center"/>
              <w:rPr>
                <w:rFonts w:hint="default"/>
                <w:vertAlign w:val="baseline"/>
                <w:lang w:val="en-US" w:eastAsia="zh-CN"/>
              </w:rPr>
            </w:pPr>
            <w:r>
              <w:rPr>
                <w:rFonts w:hint="eastAsia"/>
                <w:vertAlign w:val="baseline"/>
                <w:lang w:val="en-US" w:eastAsia="zh-CN"/>
              </w:rPr>
              <w:t>参数量</w:t>
            </w:r>
          </w:p>
        </w:tc>
        <w:tc>
          <w:tcPr>
            <w:tcW w:w="1213" w:type="dxa"/>
          </w:tcPr>
          <w:p>
            <w:pPr>
              <w:jc w:val="center"/>
              <w:rPr>
                <w:rFonts w:hint="default"/>
                <w:vertAlign w:val="baseline"/>
                <w:lang w:val="en-US" w:eastAsia="zh-CN"/>
              </w:rPr>
            </w:pPr>
            <w:r>
              <w:rPr>
                <w:rFonts w:hint="eastAsia"/>
                <w:vertAlign w:val="baseline"/>
                <w:lang w:val="en-US" w:eastAsia="zh-CN"/>
              </w:rPr>
              <w:t>MACC</w:t>
            </w:r>
          </w:p>
        </w:tc>
        <w:tc>
          <w:tcPr>
            <w:tcW w:w="1209" w:type="dxa"/>
          </w:tcPr>
          <w:p>
            <w:pPr>
              <w:jc w:val="center"/>
              <w:rPr>
                <w:rFonts w:hint="default"/>
                <w:vertAlign w:val="baseline"/>
                <w:lang w:val="en-US" w:eastAsia="zh-CN"/>
              </w:rPr>
            </w:pPr>
            <w:r>
              <w:rPr>
                <w:rFonts w:hint="eastAsia"/>
                <w:vertAlign w:val="baseline"/>
                <w:lang w:val="en-US" w:eastAsia="zh-CN"/>
              </w:rPr>
              <w:t>FLOPS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default"/>
                <w:vertAlign w:val="baseline"/>
                <w:lang w:val="en-US" w:eastAsia="zh-CN"/>
              </w:rPr>
            </w:pPr>
            <w:r>
              <w:rPr>
                <w:rFonts w:hint="eastAsia"/>
                <w:vertAlign w:val="baseline"/>
                <w:lang w:val="en-US" w:eastAsia="zh-CN"/>
              </w:rPr>
              <w:t>ours</w:t>
            </w:r>
          </w:p>
        </w:tc>
        <w:tc>
          <w:tcPr>
            <w:tcW w:w="1205" w:type="dxa"/>
          </w:tcPr>
          <w:p>
            <w:pPr>
              <w:jc w:val="center"/>
              <w:rPr>
                <w:rFonts w:hint="default"/>
                <w:vertAlign w:val="baseline"/>
                <w:lang w:val="en-US" w:eastAsia="zh-CN"/>
              </w:rPr>
            </w:pPr>
            <w:r>
              <w:rPr>
                <w:rFonts w:hint="eastAsia"/>
                <w:b/>
                <w:bCs/>
                <w:color w:val="FF0000"/>
                <w:vertAlign w:val="baseline"/>
                <w:lang w:val="en-US" w:eastAsia="zh-CN"/>
              </w:rPr>
              <w:t>0.6393</w:t>
            </w:r>
          </w:p>
        </w:tc>
        <w:tc>
          <w:tcPr>
            <w:tcW w:w="1201" w:type="dxa"/>
          </w:tcPr>
          <w:p>
            <w:pPr>
              <w:jc w:val="center"/>
              <w:rPr>
                <w:rFonts w:hint="default"/>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0.6386</w:t>
            </w:r>
          </w:p>
        </w:tc>
        <w:tc>
          <w:tcPr>
            <w:tcW w:w="1205" w:type="dxa"/>
          </w:tcPr>
          <w:p>
            <w:pPr>
              <w:jc w:val="center"/>
              <w:rPr>
                <w:rFonts w:hint="default"/>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0.5992</w:t>
            </w:r>
          </w:p>
        </w:tc>
        <w:tc>
          <w:tcPr>
            <w:tcW w:w="1277" w:type="dxa"/>
          </w:tcPr>
          <w:p>
            <w:pPr>
              <w:jc w:val="center"/>
              <w:rPr>
                <w:rFonts w:hint="default"/>
                <w:vertAlign w:val="baseline"/>
                <w:lang w:val="en-US" w:eastAsia="zh-CN"/>
              </w:rPr>
            </w:pPr>
            <w:r>
              <w:rPr>
                <w:rFonts w:hint="eastAsia"/>
                <w:b/>
                <w:bCs/>
                <w:vertAlign w:val="baseline"/>
                <w:lang w:val="en-US" w:eastAsia="zh-CN"/>
              </w:rPr>
              <w:t>9.7K</w:t>
            </w:r>
          </w:p>
        </w:tc>
        <w:tc>
          <w:tcPr>
            <w:tcW w:w="1213" w:type="dxa"/>
          </w:tcPr>
          <w:p>
            <w:pPr>
              <w:jc w:val="center"/>
              <w:rPr>
                <w:rFonts w:hint="default"/>
                <w:vertAlign w:val="baseline"/>
                <w:lang w:val="en-US" w:eastAsia="zh-CN"/>
              </w:rPr>
            </w:pPr>
            <w:r>
              <w:rPr>
                <w:rFonts w:hint="eastAsia"/>
                <w:b/>
                <w:bCs/>
                <w:vertAlign w:val="baseline"/>
                <w:lang w:val="en-US" w:eastAsia="zh-CN"/>
              </w:rPr>
              <w:t>0.53M</w:t>
            </w:r>
          </w:p>
        </w:tc>
        <w:tc>
          <w:tcPr>
            <w:tcW w:w="1209" w:type="dxa"/>
          </w:tcPr>
          <w:p>
            <w:pPr>
              <w:jc w:val="center"/>
              <w:rPr>
                <w:rFonts w:hint="default"/>
                <w:vertAlign w:val="baseline"/>
                <w:lang w:val="en-US" w:eastAsia="zh-CN"/>
              </w:rPr>
            </w:pPr>
            <w:r>
              <w:rPr>
                <w:rFonts w:hint="eastAsia"/>
                <w:b/>
                <w:bCs/>
                <w:vertAlign w:val="baseline"/>
                <w:lang w:val="en-US" w:eastAsia="zh-CN"/>
              </w:rPr>
              <w:t>0.52M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default"/>
                <w:vertAlign w:val="baseline"/>
                <w:lang w:val="en-US" w:eastAsia="zh-CN"/>
              </w:rPr>
            </w:pPr>
            <w:r>
              <w:rPr>
                <w:rFonts w:hint="eastAsia"/>
                <w:vertAlign w:val="baseline"/>
                <w:lang w:val="en-US" w:eastAsia="zh-CN"/>
              </w:rPr>
              <w:t>CLDNN</w:t>
            </w:r>
          </w:p>
        </w:tc>
        <w:tc>
          <w:tcPr>
            <w:tcW w:w="1205" w:type="dxa"/>
          </w:tcPr>
          <w:p>
            <w:pPr>
              <w:jc w:val="center"/>
              <w:rPr>
                <w:rFonts w:hint="default"/>
                <w:b w:val="0"/>
                <w:bCs w:val="0"/>
                <w:vertAlign w:val="baseline"/>
                <w:lang w:val="en-US" w:eastAsia="zh-CN"/>
              </w:rPr>
            </w:pPr>
            <w:r>
              <w:rPr>
                <w:rFonts w:hint="eastAsia"/>
                <w:b w:val="0"/>
                <w:bCs w:val="0"/>
                <w:vertAlign w:val="baseline"/>
                <w:lang w:val="en-US" w:eastAsia="zh-CN"/>
              </w:rPr>
              <w:t>0.6021</w:t>
            </w:r>
          </w:p>
        </w:tc>
        <w:tc>
          <w:tcPr>
            <w:tcW w:w="1201" w:type="dxa"/>
          </w:tcPr>
          <w:p>
            <w:pPr>
              <w:jc w:val="center"/>
              <w:rPr>
                <w:rFonts w:hint="default"/>
                <w:vertAlign w:val="baseline"/>
                <w:lang w:val="en-US" w:eastAsia="zh-CN"/>
              </w:rPr>
            </w:pPr>
            <w:r>
              <w:rPr>
                <w:rFonts w:hint="eastAsia"/>
                <w:vertAlign w:val="baseline"/>
                <w:lang w:val="en-US" w:eastAsia="zh-CN"/>
              </w:rPr>
              <w:t>0.6088</w:t>
            </w:r>
          </w:p>
        </w:tc>
        <w:tc>
          <w:tcPr>
            <w:tcW w:w="1205" w:type="dxa"/>
          </w:tcPr>
          <w:p>
            <w:pPr>
              <w:jc w:val="center"/>
              <w:rPr>
                <w:rFonts w:hint="default"/>
                <w:vertAlign w:val="baseline"/>
                <w:lang w:val="en-US" w:eastAsia="zh-CN"/>
              </w:rPr>
            </w:pPr>
            <w:r>
              <w:rPr>
                <w:rFonts w:hint="eastAsia"/>
                <w:vertAlign w:val="baseline"/>
                <w:lang w:val="en-US" w:eastAsia="zh-CN"/>
              </w:rPr>
              <w:t>0.5972</w:t>
            </w:r>
          </w:p>
        </w:tc>
        <w:tc>
          <w:tcPr>
            <w:tcW w:w="1277" w:type="dxa"/>
          </w:tcPr>
          <w:p>
            <w:pPr>
              <w:jc w:val="center"/>
              <w:rPr>
                <w:rFonts w:hint="default"/>
                <w:vertAlign w:val="baseline"/>
                <w:lang w:val="en-US" w:eastAsia="zh-CN"/>
              </w:rPr>
            </w:pPr>
            <w:r>
              <w:rPr>
                <w:rFonts w:hint="eastAsia"/>
                <w:vertAlign w:val="baseline"/>
                <w:lang w:val="en-US" w:eastAsia="zh-CN"/>
              </w:rPr>
              <w:t>160K</w:t>
            </w:r>
          </w:p>
        </w:tc>
        <w:tc>
          <w:tcPr>
            <w:tcW w:w="1213" w:type="dxa"/>
          </w:tcPr>
          <w:p>
            <w:pPr>
              <w:jc w:val="center"/>
              <w:rPr>
                <w:rFonts w:hint="default"/>
                <w:vertAlign w:val="baseline"/>
                <w:lang w:val="en-US" w:eastAsia="zh-CN"/>
              </w:rPr>
            </w:pPr>
            <w:r>
              <w:rPr>
                <w:rFonts w:hint="eastAsia"/>
                <w:vertAlign w:val="baseline"/>
                <w:lang w:val="en-US" w:eastAsia="zh-CN"/>
              </w:rPr>
              <w:t>5.74M</w:t>
            </w:r>
          </w:p>
        </w:tc>
        <w:tc>
          <w:tcPr>
            <w:tcW w:w="1209" w:type="dxa"/>
          </w:tcPr>
          <w:p>
            <w:pPr>
              <w:jc w:val="center"/>
              <w:rPr>
                <w:rFonts w:hint="default"/>
                <w:vertAlign w:val="baseline"/>
                <w:lang w:val="en-US" w:eastAsia="zh-CN"/>
              </w:rPr>
            </w:pPr>
            <w:r>
              <w:rPr>
                <w:rFonts w:hint="eastAsia"/>
                <w:vertAlign w:val="baseline"/>
                <w:lang w:val="en-US" w:eastAsia="zh-CN"/>
              </w:rPr>
              <w:t>11.486M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default"/>
                <w:vertAlign w:val="baseline"/>
                <w:lang w:val="en-US" w:eastAsia="zh-CN"/>
              </w:rPr>
            </w:pPr>
            <w:r>
              <w:rPr>
                <w:rFonts w:hint="eastAsia"/>
                <w:vertAlign w:val="baseline"/>
                <w:lang w:val="en-US" w:eastAsia="zh-CN"/>
              </w:rPr>
              <w:t>MCLDNN</w:t>
            </w:r>
          </w:p>
        </w:tc>
        <w:tc>
          <w:tcPr>
            <w:tcW w:w="1205" w:type="dxa"/>
          </w:tcPr>
          <w:p>
            <w:pPr>
              <w:jc w:val="center"/>
              <w:rPr>
                <w:rFonts w:hint="default"/>
                <w:vertAlign w:val="baseline"/>
                <w:lang w:val="en-US" w:eastAsia="zh-CN"/>
              </w:rPr>
            </w:pPr>
            <w:r>
              <w:rPr>
                <w:rFonts w:hint="eastAsia"/>
                <w:vertAlign w:val="baseline"/>
                <w:lang w:val="en-US" w:eastAsia="zh-CN"/>
              </w:rPr>
              <w:t>0.6358</w:t>
            </w:r>
          </w:p>
        </w:tc>
        <w:tc>
          <w:tcPr>
            <w:tcW w:w="1201" w:type="dxa"/>
          </w:tcPr>
          <w:p>
            <w:pPr>
              <w:jc w:val="center"/>
              <w:rPr>
                <w:rFonts w:hint="default"/>
                <w:vertAlign w:val="baseline"/>
                <w:lang w:val="en-US" w:eastAsia="zh-CN"/>
              </w:rPr>
            </w:pPr>
            <w:r>
              <w:rPr>
                <w:rFonts w:hint="eastAsia"/>
                <w:vertAlign w:val="baseline"/>
                <w:lang w:val="en-US" w:eastAsia="zh-CN"/>
              </w:rPr>
              <w:t>0.6412</w:t>
            </w:r>
          </w:p>
        </w:tc>
        <w:tc>
          <w:tcPr>
            <w:tcW w:w="1205" w:type="dxa"/>
          </w:tcPr>
          <w:p>
            <w:pPr>
              <w:jc w:val="center"/>
              <w:rPr>
                <w:rFonts w:hint="default"/>
                <w:vertAlign w:val="baseline"/>
                <w:lang w:val="en-US" w:eastAsia="zh-CN"/>
              </w:rPr>
            </w:pPr>
            <w:r>
              <w:rPr>
                <w:rFonts w:hint="eastAsia"/>
                <w:vertAlign w:val="baseline"/>
                <w:lang w:val="en-US" w:eastAsia="zh-CN"/>
              </w:rPr>
              <w:t>0.6028</w:t>
            </w:r>
          </w:p>
        </w:tc>
        <w:tc>
          <w:tcPr>
            <w:tcW w:w="1277" w:type="dxa"/>
          </w:tcPr>
          <w:p>
            <w:pPr>
              <w:jc w:val="center"/>
              <w:rPr>
                <w:rFonts w:hint="default"/>
                <w:vertAlign w:val="baseline"/>
                <w:lang w:val="en-US" w:eastAsia="zh-CN"/>
              </w:rPr>
            </w:pPr>
            <w:r>
              <w:rPr>
                <w:rFonts w:hint="eastAsia"/>
                <w:vertAlign w:val="baseline"/>
                <w:lang w:val="en-US" w:eastAsia="zh-CN"/>
              </w:rPr>
              <w:t>380K</w:t>
            </w:r>
          </w:p>
        </w:tc>
        <w:tc>
          <w:tcPr>
            <w:tcW w:w="1213" w:type="dxa"/>
          </w:tcPr>
          <w:p>
            <w:pPr>
              <w:jc w:val="center"/>
              <w:rPr>
                <w:rFonts w:hint="default"/>
                <w:vertAlign w:val="baseline"/>
                <w:lang w:val="en-US" w:eastAsia="zh-CN"/>
              </w:rPr>
            </w:pPr>
            <w:r>
              <w:rPr>
                <w:rFonts w:hint="eastAsia"/>
                <w:vertAlign w:val="baseline"/>
                <w:lang w:val="en-US" w:eastAsia="zh-CN"/>
              </w:rPr>
              <w:t>20.94M</w:t>
            </w:r>
          </w:p>
        </w:tc>
        <w:tc>
          <w:tcPr>
            <w:tcW w:w="1209" w:type="dxa"/>
          </w:tcPr>
          <w:p>
            <w:pPr>
              <w:jc w:val="center"/>
              <w:rPr>
                <w:rFonts w:hint="default"/>
                <w:vertAlign w:val="baseline"/>
                <w:lang w:val="en-US" w:eastAsia="zh-CN"/>
              </w:rPr>
            </w:pPr>
            <w:r>
              <w:rPr>
                <w:rFonts w:hint="eastAsia"/>
                <w:vertAlign w:val="baseline"/>
                <w:lang w:val="en-US" w:eastAsia="zh-CN"/>
              </w:rPr>
              <w:t>41.876M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default"/>
                <w:vertAlign w:val="baseline"/>
                <w:lang w:val="en-US" w:eastAsia="zh-CN"/>
              </w:rPr>
            </w:pPr>
            <w:r>
              <w:rPr>
                <w:rFonts w:hint="eastAsia"/>
                <w:vertAlign w:val="baseline"/>
                <w:lang w:val="en-US" w:eastAsia="zh-CN"/>
              </w:rPr>
              <w:t>ICAMC</w:t>
            </w:r>
          </w:p>
        </w:tc>
        <w:tc>
          <w:tcPr>
            <w:tcW w:w="1205" w:type="dxa"/>
          </w:tcPr>
          <w:p>
            <w:pPr>
              <w:jc w:val="center"/>
              <w:rPr>
                <w:rFonts w:hint="default"/>
                <w:vertAlign w:val="baseline"/>
                <w:lang w:val="en-US" w:eastAsia="zh-CN"/>
              </w:rPr>
            </w:pPr>
            <w:r>
              <w:rPr>
                <w:rFonts w:hint="eastAsia"/>
                <w:vertAlign w:val="baseline"/>
                <w:lang w:val="en-US" w:eastAsia="zh-CN"/>
              </w:rPr>
              <w:t>0.6243</w:t>
            </w:r>
          </w:p>
        </w:tc>
        <w:tc>
          <w:tcPr>
            <w:tcW w:w="1201" w:type="dxa"/>
          </w:tcPr>
          <w:p>
            <w:pPr>
              <w:jc w:val="center"/>
              <w:rPr>
                <w:rFonts w:hint="default"/>
                <w:vertAlign w:val="baseline"/>
                <w:lang w:val="en-US" w:eastAsia="zh-CN"/>
              </w:rPr>
            </w:pPr>
            <w:r>
              <w:rPr>
                <w:rFonts w:hint="eastAsia"/>
                <w:vertAlign w:val="baseline"/>
                <w:lang w:val="en-US" w:eastAsia="zh-CN"/>
              </w:rPr>
              <w:t>0.6332</w:t>
            </w:r>
          </w:p>
        </w:tc>
        <w:tc>
          <w:tcPr>
            <w:tcW w:w="1205" w:type="dxa"/>
          </w:tcPr>
          <w:p>
            <w:pPr>
              <w:jc w:val="center"/>
              <w:rPr>
                <w:rFonts w:hint="default"/>
                <w:vertAlign w:val="baseline"/>
                <w:lang w:val="en-US" w:eastAsia="zh-CN"/>
              </w:rPr>
            </w:pPr>
            <w:r>
              <w:rPr>
                <w:rFonts w:hint="eastAsia"/>
                <w:vertAlign w:val="baseline"/>
                <w:lang w:val="en-US" w:eastAsia="zh-CN"/>
              </w:rPr>
              <w:t>0.6023</w:t>
            </w:r>
          </w:p>
        </w:tc>
        <w:tc>
          <w:tcPr>
            <w:tcW w:w="1277" w:type="dxa"/>
          </w:tcPr>
          <w:p>
            <w:pPr>
              <w:jc w:val="center"/>
              <w:rPr>
                <w:rFonts w:hint="default"/>
                <w:vertAlign w:val="baseline"/>
                <w:lang w:val="en-US" w:eastAsia="zh-CN"/>
              </w:rPr>
            </w:pPr>
            <w:r>
              <w:rPr>
                <w:rFonts w:hint="eastAsia"/>
                <w:vertAlign w:val="baseline"/>
                <w:lang w:val="en-US" w:eastAsia="zh-CN"/>
              </w:rPr>
              <w:t>1210K</w:t>
            </w:r>
          </w:p>
        </w:tc>
        <w:tc>
          <w:tcPr>
            <w:tcW w:w="1213" w:type="dxa"/>
          </w:tcPr>
          <w:p>
            <w:pPr>
              <w:jc w:val="center"/>
              <w:rPr>
                <w:rFonts w:hint="default"/>
                <w:vertAlign w:val="baseline"/>
                <w:lang w:val="en-US" w:eastAsia="zh-CN"/>
              </w:rPr>
            </w:pPr>
            <w:r>
              <w:rPr>
                <w:rFonts w:hint="eastAsia"/>
                <w:vertAlign w:val="baseline"/>
                <w:lang w:val="en-US" w:eastAsia="zh-CN"/>
              </w:rPr>
              <w:t>7.7M</w:t>
            </w:r>
          </w:p>
        </w:tc>
        <w:tc>
          <w:tcPr>
            <w:tcW w:w="1209" w:type="dxa"/>
          </w:tcPr>
          <w:p>
            <w:pPr>
              <w:jc w:val="center"/>
              <w:rPr>
                <w:rFonts w:hint="default"/>
                <w:vertAlign w:val="baseline"/>
                <w:lang w:val="en-US" w:eastAsia="zh-CN"/>
              </w:rPr>
            </w:pPr>
            <w:r>
              <w:rPr>
                <w:rFonts w:hint="eastAsia"/>
                <w:vertAlign w:val="baseline"/>
                <w:lang w:val="en-US" w:eastAsia="zh-CN"/>
              </w:rPr>
              <w:t>15.403M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2" w:type="dxa"/>
          </w:tcPr>
          <w:p>
            <w:pPr>
              <w:jc w:val="center"/>
              <w:rPr>
                <w:rFonts w:hint="default"/>
                <w:vertAlign w:val="baseline"/>
                <w:lang w:val="en-US" w:eastAsia="zh-CN"/>
              </w:rPr>
            </w:pPr>
            <w:r>
              <w:rPr>
                <w:rFonts w:hint="eastAsia"/>
                <w:vertAlign w:val="baseline"/>
                <w:lang w:val="en-US" w:eastAsia="zh-CN"/>
              </w:rPr>
              <w:t>AMC-Net</w:t>
            </w:r>
          </w:p>
        </w:tc>
        <w:tc>
          <w:tcPr>
            <w:tcW w:w="1205" w:type="dxa"/>
          </w:tcPr>
          <w:p>
            <w:pPr>
              <w:jc w:val="center"/>
              <w:rPr>
                <w:rFonts w:hint="default"/>
                <w:b/>
                <w:bCs/>
                <w:vertAlign w:val="baseline"/>
                <w:lang w:val="en-US" w:eastAsia="zh-CN"/>
              </w:rPr>
            </w:pPr>
            <w:r>
              <w:rPr>
                <w:rFonts w:hint="eastAsia"/>
                <w:b/>
                <w:bCs/>
                <w:vertAlign w:val="baseline"/>
                <w:lang w:val="en-US" w:eastAsia="zh-CN"/>
              </w:rPr>
              <w:t>0.6463</w:t>
            </w:r>
          </w:p>
        </w:tc>
        <w:tc>
          <w:tcPr>
            <w:tcW w:w="1201" w:type="dxa"/>
          </w:tcPr>
          <w:p>
            <w:pPr>
              <w:jc w:val="center"/>
              <w:rPr>
                <w:rFonts w:hint="default"/>
                <w:vertAlign w:val="baseline"/>
                <w:lang w:val="en-US" w:eastAsia="zh-CN"/>
              </w:rPr>
            </w:pPr>
            <w:r>
              <w:rPr>
                <w:rFonts w:hint="eastAsia"/>
                <w:b/>
                <w:bCs/>
                <w:vertAlign w:val="baseline"/>
                <w:lang w:val="en-US" w:eastAsia="zh-CN"/>
              </w:rPr>
              <w:t>0.6487</w:t>
            </w:r>
          </w:p>
        </w:tc>
        <w:tc>
          <w:tcPr>
            <w:tcW w:w="1205" w:type="dxa"/>
          </w:tcPr>
          <w:p>
            <w:pPr>
              <w:jc w:val="center"/>
              <w:rPr>
                <w:rFonts w:hint="default"/>
                <w:vertAlign w:val="baseline"/>
                <w:lang w:val="en-US" w:eastAsia="zh-CN"/>
              </w:rPr>
            </w:pPr>
            <w:r>
              <w:rPr>
                <w:rFonts w:hint="eastAsia"/>
                <w:b/>
                <w:bCs/>
                <w:vertAlign w:val="baseline"/>
                <w:lang w:val="en-US" w:eastAsia="zh-CN"/>
              </w:rPr>
              <w:t>0.6081</w:t>
            </w:r>
          </w:p>
        </w:tc>
        <w:tc>
          <w:tcPr>
            <w:tcW w:w="1277" w:type="dxa"/>
          </w:tcPr>
          <w:p>
            <w:pPr>
              <w:jc w:val="center"/>
              <w:rPr>
                <w:rFonts w:hint="default"/>
                <w:vertAlign w:val="baseline"/>
                <w:lang w:val="en-US" w:eastAsia="zh-CN"/>
              </w:rPr>
            </w:pPr>
            <w:r>
              <w:rPr>
                <w:rFonts w:hint="eastAsia"/>
                <w:vertAlign w:val="baseline"/>
                <w:lang w:val="en-US" w:eastAsia="zh-CN"/>
              </w:rPr>
              <w:t>470K</w:t>
            </w:r>
          </w:p>
        </w:tc>
        <w:tc>
          <w:tcPr>
            <w:tcW w:w="1213" w:type="dxa"/>
          </w:tcPr>
          <w:p>
            <w:pPr>
              <w:jc w:val="center"/>
              <w:rPr>
                <w:rFonts w:hint="default"/>
                <w:vertAlign w:val="baseline"/>
                <w:lang w:val="en-US" w:eastAsia="zh-CN"/>
              </w:rPr>
            </w:pPr>
            <w:r>
              <w:rPr>
                <w:rFonts w:hint="eastAsia"/>
                <w:vertAlign w:val="baseline"/>
                <w:lang w:val="en-US" w:eastAsia="zh-CN"/>
              </w:rPr>
              <w:t>9.4M</w:t>
            </w:r>
          </w:p>
        </w:tc>
        <w:tc>
          <w:tcPr>
            <w:tcW w:w="1209" w:type="dxa"/>
          </w:tcPr>
          <w:p>
            <w:pPr>
              <w:jc w:val="center"/>
              <w:rPr>
                <w:rFonts w:hint="eastAsia"/>
                <w:vertAlign w:val="baseline"/>
                <w:lang w:val="en-US" w:eastAsia="zh-CN"/>
              </w:rPr>
            </w:pPr>
            <w:r>
              <w:rPr>
                <w:rFonts w:hint="eastAsia"/>
                <w:vertAlign w:val="baseline"/>
                <w:lang w:val="en-US" w:eastAsia="zh-CN"/>
              </w:rPr>
              <w:t>18.799M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default"/>
                <w:vertAlign w:val="baseline"/>
                <w:lang w:val="en-US" w:eastAsia="zh-CN"/>
              </w:rPr>
            </w:pPr>
            <w:r>
              <w:rPr>
                <w:rFonts w:hint="eastAsia"/>
                <w:vertAlign w:val="baseline"/>
                <w:lang w:val="en-US" w:eastAsia="zh-CN"/>
              </w:rPr>
              <w:t>CDSCNN</w:t>
            </w:r>
          </w:p>
        </w:tc>
        <w:tc>
          <w:tcPr>
            <w:tcW w:w="1205" w:type="dxa"/>
          </w:tcPr>
          <w:p>
            <w:pPr>
              <w:jc w:val="center"/>
              <w:rPr>
                <w:rFonts w:hint="default"/>
                <w:vertAlign w:val="baseline"/>
                <w:lang w:val="en-US" w:eastAsia="zh-CN"/>
              </w:rPr>
            </w:pPr>
            <w:r>
              <w:rPr>
                <w:rFonts w:hint="eastAsia"/>
                <w:vertAlign w:val="baseline"/>
                <w:lang w:val="en-US" w:eastAsia="zh-CN"/>
              </w:rPr>
              <w:t>0.6288</w:t>
            </w:r>
          </w:p>
        </w:tc>
        <w:tc>
          <w:tcPr>
            <w:tcW w:w="1201" w:type="dxa"/>
          </w:tcPr>
          <w:p>
            <w:pPr>
              <w:jc w:val="center"/>
              <w:rPr>
                <w:rFonts w:hint="default"/>
                <w:vertAlign w:val="baseline"/>
                <w:lang w:val="en-US" w:eastAsia="zh-CN"/>
              </w:rPr>
            </w:pPr>
            <w:r>
              <w:rPr>
                <w:rFonts w:hint="eastAsia"/>
                <w:vertAlign w:val="baseline"/>
                <w:lang w:val="en-US" w:eastAsia="zh-CN"/>
              </w:rPr>
              <w:t>0.626</w:t>
            </w:r>
          </w:p>
        </w:tc>
        <w:tc>
          <w:tcPr>
            <w:tcW w:w="1205" w:type="dxa"/>
          </w:tcPr>
          <w:p>
            <w:pPr>
              <w:jc w:val="center"/>
              <w:rPr>
                <w:rFonts w:hint="default"/>
                <w:vertAlign w:val="baseline"/>
                <w:lang w:val="en-US" w:eastAsia="zh-CN"/>
              </w:rPr>
            </w:pPr>
            <w:r>
              <w:rPr>
                <w:rFonts w:hint="eastAsia"/>
                <w:vertAlign w:val="baseline"/>
                <w:lang w:val="en-US" w:eastAsia="zh-CN"/>
              </w:rPr>
              <w:t>0.587</w:t>
            </w:r>
          </w:p>
        </w:tc>
        <w:tc>
          <w:tcPr>
            <w:tcW w:w="1277" w:type="dxa"/>
          </w:tcPr>
          <w:p>
            <w:pPr>
              <w:jc w:val="center"/>
              <w:rPr>
                <w:rFonts w:hint="default"/>
                <w:vertAlign w:val="baseline"/>
                <w:lang w:val="en-US" w:eastAsia="zh-CN"/>
              </w:rPr>
            </w:pPr>
            <w:r>
              <w:rPr>
                <w:rFonts w:hint="eastAsia"/>
                <w:vertAlign w:val="baseline"/>
                <w:lang w:val="en-US" w:eastAsia="zh-CN"/>
              </w:rPr>
              <w:t>860K</w:t>
            </w:r>
          </w:p>
        </w:tc>
        <w:tc>
          <w:tcPr>
            <w:tcW w:w="1213" w:type="dxa"/>
          </w:tcPr>
          <w:p>
            <w:pPr>
              <w:jc w:val="center"/>
              <w:rPr>
                <w:rFonts w:hint="default"/>
                <w:vertAlign w:val="baseline"/>
                <w:lang w:val="en-US" w:eastAsia="zh-CN"/>
              </w:rPr>
            </w:pPr>
            <w:r>
              <w:rPr>
                <w:rFonts w:hint="eastAsia"/>
                <w:vertAlign w:val="baseline"/>
                <w:lang w:val="en-US" w:eastAsia="zh-CN"/>
              </w:rPr>
              <w:t>13M</w:t>
            </w:r>
          </w:p>
        </w:tc>
        <w:tc>
          <w:tcPr>
            <w:tcW w:w="1209" w:type="dxa"/>
          </w:tcPr>
          <w:p>
            <w:pPr>
              <w:jc w:val="center"/>
              <w:rPr>
                <w:rFonts w:hint="eastAsia"/>
                <w:vertAlign w:val="baseline"/>
                <w:lang w:val="en-US" w:eastAsia="zh-CN"/>
              </w:rPr>
            </w:pPr>
            <w:r>
              <w:rPr>
                <w:rFonts w:hint="eastAsia"/>
                <w:vertAlign w:val="baseline"/>
                <w:lang w:val="en-US" w:eastAsia="zh-CN"/>
              </w:rPr>
              <w:t>25.998M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default"/>
                <w:vertAlign w:val="baseline"/>
                <w:lang w:val="en-US" w:eastAsia="zh-CN"/>
              </w:rPr>
            </w:pPr>
            <w:r>
              <w:rPr>
                <w:rFonts w:hint="eastAsia"/>
                <w:vertAlign w:val="baseline"/>
                <w:lang w:val="en-US" w:eastAsia="zh-CN"/>
              </w:rPr>
              <w:t>MCNET</w:t>
            </w:r>
          </w:p>
        </w:tc>
        <w:tc>
          <w:tcPr>
            <w:tcW w:w="1205" w:type="dxa"/>
          </w:tcPr>
          <w:p>
            <w:pPr>
              <w:jc w:val="center"/>
              <w:rPr>
                <w:rFonts w:hint="default"/>
                <w:vertAlign w:val="baseline"/>
                <w:lang w:val="en-US" w:eastAsia="zh-CN"/>
              </w:rPr>
            </w:pPr>
            <w:r>
              <w:rPr>
                <w:rFonts w:hint="eastAsia"/>
                <w:vertAlign w:val="baseline"/>
                <w:lang w:val="en-US" w:eastAsia="zh-CN"/>
              </w:rPr>
              <w:t>0.6074</w:t>
            </w:r>
          </w:p>
        </w:tc>
        <w:tc>
          <w:tcPr>
            <w:tcW w:w="1201" w:type="dxa"/>
          </w:tcPr>
          <w:p>
            <w:pPr>
              <w:jc w:val="center"/>
              <w:rPr>
                <w:rFonts w:hint="default"/>
                <w:vertAlign w:val="baseline"/>
                <w:lang w:val="en-US" w:eastAsia="zh-CN"/>
              </w:rPr>
            </w:pPr>
            <w:r>
              <w:rPr>
                <w:rFonts w:hint="eastAsia"/>
                <w:vertAlign w:val="baseline"/>
                <w:lang w:val="en-US" w:eastAsia="zh-CN"/>
              </w:rPr>
              <w:t>0.6102</w:t>
            </w:r>
          </w:p>
        </w:tc>
        <w:tc>
          <w:tcPr>
            <w:tcW w:w="1205" w:type="dxa"/>
          </w:tcPr>
          <w:p>
            <w:pPr>
              <w:jc w:val="center"/>
              <w:rPr>
                <w:rFonts w:hint="default"/>
                <w:vertAlign w:val="baseline"/>
                <w:lang w:val="en-US" w:eastAsia="zh-CN"/>
              </w:rPr>
            </w:pPr>
            <w:r>
              <w:rPr>
                <w:rFonts w:hint="eastAsia"/>
                <w:vertAlign w:val="baseline"/>
                <w:lang w:val="en-US" w:eastAsia="zh-CN"/>
              </w:rPr>
              <w:t>0.5883</w:t>
            </w:r>
          </w:p>
        </w:tc>
        <w:tc>
          <w:tcPr>
            <w:tcW w:w="1277" w:type="dxa"/>
          </w:tcPr>
          <w:p>
            <w:pPr>
              <w:jc w:val="center"/>
              <w:rPr>
                <w:rFonts w:hint="default"/>
                <w:vertAlign w:val="baseline"/>
                <w:lang w:val="en-US" w:eastAsia="zh-CN"/>
              </w:rPr>
            </w:pPr>
            <w:r>
              <w:rPr>
                <w:rFonts w:hint="eastAsia"/>
                <w:vertAlign w:val="baseline"/>
                <w:lang w:val="en-US" w:eastAsia="zh-CN"/>
              </w:rPr>
              <w:t>120K</w:t>
            </w:r>
          </w:p>
        </w:tc>
        <w:tc>
          <w:tcPr>
            <w:tcW w:w="1213" w:type="dxa"/>
          </w:tcPr>
          <w:p>
            <w:pPr>
              <w:jc w:val="center"/>
              <w:rPr>
                <w:rFonts w:hint="default"/>
                <w:vertAlign w:val="baseline"/>
                <w:lang w:val="en-US" w:eastAsia="zh-CN"/>
              </w:rPr>
            </w:pPr>
            <w:r>
              <w:rPr>
                <w:rFonts w:hint="eastAsia"/>
                <w:vertAlign w:val="baseline"/>
                <w:lang w:val="en-US" w:eastAsia="zh-CN"/>
              </w:rPr>
              <w:t>3.44M</w:t>
            </w:r>
          </w:p>
        </w:tc>
        <w:tc>
          <w:tcPr>
            <w:tcW w:w="1209" w:type="dxa"/>
          </w:tcPr>
          <w:p>
            <w:pPr>
              <w:jc w:val="center"/>
              <w:rPr>
                <w:rFonts w:hint="default"/>
                <w:vertAlign w:val="baseline"/>
                <w:lang w:val="en-US" w:eastAsia="zh-CN"/>
              </w:rPr>
            </w:pPr>
            <w:r>
              <w:rPr>
                <w:rFonts w:hint="eastAsia"/>
                <w:vertAlign w:val="baseline"/>
                <w:lang w:val="en-US" w:eastAsia="zh-CN"/>
              </w:rPr>
              <w:t>9.289M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default"/>
                <w:vertAlign w:val="baseline"/>
                <w:lang w:val="en-US" w:eastAsia="zh-CN"/>
              </w:rPr>
            </w:pPr>
            <w:r>
              <w:rPr>
                <w:rFonts w:hint="eastAsia"/>
                <w:vertAlign w:val="baseline"/>
                <w:lang w:val="en-US" w:eastAsia="zh-CN"/>
              </w:rPr>
              <w:t>CNN1D</w:t>
            </w:r>
          </w:p>
        </w:tc>
        <w:tc>
          <w:tcPr>
            <w:tcW w:w="1205" w:type="dxa"/>
          </w:tcPr>
          <w:p>
            <w:pPr>
              <w:jc w:val="center"/>
              <w:rPr>
                <w:rFonts w:hint="default"/>
                <w:vertAlign w:val="baseline"/>
                <w:lang w:val="en-US" w:eastAsia="zh-CN"/>
              </w:rPr>
            </w:pPr>
            <w:r>
              <w:rPr>
                <w:rFonts w:hint="eastAsia"/>
                <w:vertAlign w:val="baseline"/>
                <w:lang w:val="en-US" w:eastAsia="zh-CN"/>
              </w:rPr>
              <w:t>0.6296</w:t>
            </w:r>
          </w:p>
        </w:tc>
        <w:tc>
          <w:tcPr>
            <w:tcW w:w="1201" w:type="dxa"/>
          </w:tcPr>
          <w:p>
            <w:pPr>
              <w:jc w:val="center"/>
              <w:rPr>
                <w:rFonts w:hint="default"/>
                <w:vertAlign w:val="baseline"/>
                <w:lang w:val="en-US" w:eastAsia="zh-CN"/>
              </w:rPr>
            </w:pPr>
            <w:r>
              <w:rPr>
                <w:rFonts w:hint="eastAsia"/>
                <w:vertAlign w:val="baseline"/>
                <w:lang w:val="en-US" w:eastAsia="zh-CN"/>
              </w:rPr>
              <w:t>0.6274</w:t>
            </w:r>
          </w:p>
        </w:tc>
        <w:tc>
          <w:tcPr>
            <w:tcW w:w="1205" w:type="dxa"/>
          </w:tcPr>
          <w:p>
            <w:pPr>
              <w:jc w:val="center"/>
              <w:rPr>
                <w:rFonts w:hint="default"/>
                <w:vertAlign w:val="baseline"/>
                <w:lang w:val="en-US" w:eastAsia="zh-CN"/>
              </w:rPr>
            </w:pPr>
            <w:r>
              <w:rPr>
                <w:rFonts w:hint="eastAsia"/>
                <w:vertAlign w:val="baseline"/>
                <w:lang w:val="en-US" w:eastAsia="zh-CN"/>
              </w:rPr>
              <w:t>0.5885</w:t>
            </w:r>
          </w:p>
        </w:tc>
        <w:tc>
          <w:tcPr>
            <w:tcW w:w="1277" w:type="dxa"/>
          </w:tcPr>
          <w:p>
            <w:pPr>
              <w:jc w:val="center"/>
              <w:rPr>
                <w:rFonts w:hint="default"/>
                <w:vertAlign w:val="baseline"/>
                <w:lang w:val="en-US" w:eastAsia="zh-CN"/>
              </w:rPr>
            </w:pPr>
            <w:r>
              <w:rPr>
                <w:rFonts w:hint="eastAsia"/>
                <w:vertAlign w:val="baseline"/>
                <w:lang w:val="en-US" w:eastAsia="zh-CN"/>
              </w:rPr>
              <w:t>100K</w:t>
            </w:r>
          </w:p>
        </w:tc>
        <w:tc>
          <w:tcPr>
            <w:tcW w:w="1213" w:type="dxa"/>
          </w:tcPr>
          <w:p>
            <w:pPr>
              <w:jc w:val="center"/>
              <w:rPr>
                <w:rFonts w:hint="default"/>
                <w:vertAlign w:val="baseline"/>
                <w:lang w:val="en-US" w:eastAsia="zh-CN"/>
              </w:rPr>
            </w:pPr>
            <w:r>
              <w:rPr>
                <w:rFonts w:hint="eastAsia"/>
                <w:vertAlign w:val="baseline"/>
                <w:lang w:val="en-US" w:eastAsia="zh-CN"/>
              </w:rPr>
              <w:t>4.77M</w:t>
            </w:r>
          </w:p>
        </w:tc>
        <w:tc>
          <w:tcPr>
            <w:tcW w:w="1209" w:type="dxa"/>
          </w:tcPr>
          <w:p>
            <w:pPr>
              <w:jc w:val="center"/>
              <w:rPr>
                <w:rFonts w:hint="eastAsia"/>
                <w:vertAlign w:val="baseline"/>
                <w:lang w:val="en-US" w:eastAsia="zh-CN"/>
              </w:rPr>
            </w:pPr>
            <w:r>
              <w:rPr>
                <w:rFonts w:hint="eastAsia"/>
                <w:vertAlign w:val="baseline"/>
                <w:lang w:val="en-US" w:eastAsia="zh-CN"/>
              </w:rPr>
              <w:t>9.533M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2" w:type="dxa"/>
          </w:tcPr>
          <w:p>
            <w:pPr>
              <w:jc w:val="center"/>
              <w:rPr>
                <w:rFonts w:hint="default"/>
                <w:vertAlign w:val="baseline"/>
                <w:lang w:val="en-US" w:eastAsia="zh-CN"/>
              </w:rPr>
            </w:pPr>
            <w:r>
              <w:rPr>
                <w:rFonts w:hint="eastAsia"/>
                <w:vertAlign w:val="baseline"/>
                <w:lang w:val="en-US" w:eastAsia="zh-CN"/>
              </w:rPr>
              <w:t>CNN2D</w:t>
            </w:r>
          </w:p>
        </w:tc>
        <w:tc>
          <w:tcPr>
            <w:tcW w:w="1205" w:type="dxa"/>
          </w:tcPr>
          <w:p>
            <w:pPr>
              <w:jc w:val="center"/>
              <w:rPr>
                <w:rFonts w:hint="eastAsia"/>
                <w:vertAlign w:val="baseline"/>
                <w:lang w:val="en-US" w:eastAsia="zh-CN"/>
              </w:rPr>
            </w:pPr>
            <w:r>
              <w:rPr>
                <w:rFonts w:hint="eastAsia"/>
                <w:vertAlign w:val="baseline"/>
                <w:lang w:val="en-US" w:eastAsia="zh-CN"/>
              </w:rPr>
              <w:t>0.5306</w:t>
            </w:r>
          </w:p>
        </w:tc>
        <w:tc>
          <w:tcPr>
            <w:tcW w:w="1201" w:type="dxa"/>
          </w:tcPr>
          <w:p>
            <w:pPr>
              <w:jc w:val="center"/>
              <w:rPr>
                <w:rFonts w:hint="default"/>
                <w:vertAlign w:val="baseline"/>
                <w:lang w:val="en-US" w:eastAsia="zh-CN"/>
              </w:rPr>
            </w:pPr>
            <w:r>
              <w:rPr>
                <w:rFonts w:hint="eastAsia"/>
                <w:vertAlign w:val="baseline"/>
                <w:lang w:val="en-US" w:eastAsia="zh-CN"/>
              </w:rPr>
              <w:t>0.5321</w:t>
            </w:r>
          </w:p>
        </w:tc>
        <w:tc>
          <w:tcPr>
            <w:tcW w:w="1205" w:type="dxa"/>
          </w:tcPr>
          <w:p>
            <w:pPr>
              <w:jc w:val="center"/>
              <w:rPr>
                <w:rFonts w:hint="default"/>
                <w:vertAlign w:val="baseline"/>
                <w:lang w:val="en-US" w:eastAsia="zh-CN"/>
              </w:rPr>
            </w:pPr>
            <w:r>
              <w:rPr>
                <w:rFonts w:hint="eastAsia"/>
                <w:vertAlign w:val="baseline"/>
                <w:lang w:val="en-US" w:eastAsia="zh-CN"/>
              </w:rPr>
              <w:t>0.4785</w:t>
            </w:r>
          </w:p>
        </w:tc>
        <w:tc>
          <w:tcPr>
            <w:tcW w:w="1277" w:type="dxa"/>
          </w:tcPr>
          <w:p>
            <w:pPr>
              <w:jc w:val="center"/>
              <w:rPr>
                <w:rFonts w:hint="default"/>
                <w:vertAlign w:val="baseline"/>
                <w:lang w:val="en-US" w:eastAsia="zh-CN"/>
              </w:rPr>
            </w:pPr>
            <w:r>
              <w:rPr>
                <w:rFonts w:hint="eastAsia"/>
                <w:vertAlign w:val="baseline"/>
                <w:lang w:val="en-US" w:eastAsia="zh-CN"/>
              </w:rPr>
              <w:t>2764K</w:t>
            </w:r>
          </w:p>
        </w:tc>
        <w:tc>
          <w:tcPr>
            <w:tcW w:w="1213" w:type="dxa"/>
          </w:tcPr>
          <w:p>
            <w:pPr>
              <w:jc w:val="center"/>
              <w:rPr>
                <w:rFonts w:hint="default"/>
                <w:vertAlign w:val="baseline"/>
                <w:lang w:val="en-US" w:eastAsia="zh-CN"/>
              </w:rPr>
            </w:pPr>
            <w:r>
              <w:rPr>
                <w:rFonts w:hint="eastAsia"/>
                <w:vertAlign w:val="baseline"/>
                <w:lang w:val="en-US" w:eastAsia="zh-CN"/>
              </w:rPr>
              <w:t>9.8M</w:t>
            </w:r>
          </w:p>
        </w:tc>
        <w:tc>
          <w:tcPr>
            <w:tcW w:w="1209" w:type="dxa"/>
          </w:tcPr>
          <w:p>
            <w:pPr>
              <w:jc w:val="center"/>
              <w:rPr>
                <w:rFonts w:hint="eastAsia"/>
                <w:vertAlign w:val="baseline"/>
                <w:lang w:val="en-US" w:eastAsia="zh-CN"/>
              </w:rPr>
            </w:pPr>
            <w:r>
              <w:rPr>
                <w:rFonts w:hint="eastAsia"/>
                <w:vertAlign w:val="baseline"/>
                <w:lang w:val="en-US" w:eastAsia="zh-CN"/>
              </w:rPr>
              <w:t>19.594M</w:t>
            </w:r>
          </w:p>
        </w:tc>
      </w:tr>
    </w:tbl>
    <w:p>
      <w:pPr>
        <w:jc w:val="center"/>
        <w:rPr>
          <w:rFonts w:hint="default"/>
          <w:b/>
          <w:bCs/>
          <w:lang w:val="en-US" w:eastAsia="zh-CN"/>
        </w:rPr>
      </w:pP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各种方法性能与信噪比之间的关系：</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381500" cy="3286125"/>
            <wp:effectExtent l="0" t="0" r="0" b="9525"/>
            <wp:docPr id="4" name="图片 4"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cc"/>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4381500" cy="3286125"/>
                    </a:xfrm>
                    <a:prstGeom prst="rect">
                      <a:avLst/>
                    </a:prstGeom>
                  </pic:spPr>
                </pic:pic>
              </a:graphicData>
            </a:graphic>
          </wp:inline>
        </w:drawing>
      </w:r>
    </w:p>
    <w:p>
      <w:pPr>
        <w:jc w:val="cente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4381500" cy="3286125"/>
            <wp:effectExtent l="0" t="0" r="0" b="9525"/>
            <wp:docPr id="5" name="图片 5"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cc"/>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4381500" cy="3286125"/>
                    </a:xfrm>
                    <a:prstGeom prst="rect">
                      <a:avLst/>
                    </a:prstGeom>
                  </pic:spPr>
                </pic:pic>
              </a:graphicData>
            </a:graphic>
          </wp:inline>
        </w:drawing>
      </w:r>
    </w:p>
    <w:p>
      <w:p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各种方法的tsne可视化：</w:t>
      </w:r>
    </w:p>
    <w:p>
      <w:pPr>
        <w:jc w:val="center"/>
      </w:pPr>
      <w:r>
        <w:drawing>
          <wp:inline distT="0" distB="0" distL="114300" distR="114300">
            <wp:extent cx="4441190" cy="4522470"/>
            <wp:effectExtent l="0" t="0" r="16510" b="1143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9"/>
                    <a:stretch>
                      <a:fillRect/>
                    </a:stretch>
                  </pic:blipFill>
                  <pic:spPr>
                    <a:xfrm>
                      <a:off x="0" y="0"/>
                      <a:ext cx="4441190" cy="452247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MCLDNN特征可视化</w:t>
      </w:r>
    </w:p>
    <w:p>
      <w:pPr>
        <w:jc w:val="both"/>
        <w:rPr>
          <w:rFonts w:hint="default"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pPr>
      <w:bookmarkStart w:id="0" w:name="_GoBack"/>
      <w:r>
        <w:drawing>
          <wp:inline distT="0" distB="0" distL="114300" distR="114300">
            <wp:extent cx="5266690" cy="5328285"/>
            <wp:effectExtent l="0" t="0" r="10160" b="571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5266690" cy="5328285"/>
                    </a:xfrm>
                    <a:prstGeom prst="rect">
                      <a:avLst/>
                    </a:prstGeom>
                    <a:noFill/>
                    <a:ln>
                      <a:noFill/>
                    </a:ln>
                  </pic:spPr>
                </pic:pic>
              </a:graphicData>
            </a:graphic>
          </wp:inline>
        </w:drawing>
      </w:r>
      <w:bookmarkEnd w:id="0"/>
    </w:p>
    <w:p>
      <w:pPr>
        <w:jc w:val="center"/>
        <w:rPr>
          <w:rFonts w:hint="default" w:eastAsiaTheme="minorEastAsia"/>
          <w:lang w:val="en-US" w:eastAsia="zh-CN"/>
        </w:rPr>
      </w:pPr>
      <w:r>
        <w:rPr>
          <w:rFonts w:hint="eastAsia"/>
          <w:lang w:val="en-US" w:eastAsia="zh-CN"/>
        </w:rPr>
        <w:t>UAWN特征可视化</w:t>
      </w:r>
    </w:p>
    <w:p>
      <w:pPr>
        <w:jc w:val="both"/>
        <w:rPr>
          <w:rFonts w:hint="eastAsia"/>
          <w:lang w:val="en-US" w:eastAsia="zh-CN"/>
        </w:rPr>
      </w:pPr>
    </w:p>
    <w:p>
      <w:pPr>
        <w:jc w:val="both"/>
        <w:rPr>
          <w:rFonts w:hint="default"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I2ODI1NGI5ZDA5MTcwMTc2ZmIyZWJjMDBlNmFiNzYifQ=="/>
  </w:docVars>
  <w:rsids>
    <w:rsidRoot w:val="00264B5B"/>
    <w:rsid w:val="000027E5"/>
    <w:rsid w:val="000E62F9"/>
    <w:rsid w:val="000F38FA"/>
    <w:rsid w:val="00167735"/>
    <w:rsid w:val="001E04E6"/>
    <w:rsid w:val="002105E7"/>
    <w:rsid w:val="00233A38"/>
    <w:rsid w:val="00261650"/>
    <w:rsid w:val="00264B5B"/>
    <w:rsid w:val="002C2C76"/>
    <w:rsid w:val="002F0886"/>
    <w:rsid w:val="00346362"/>
    <w:rsid w:val="00381896"/>
    <w:rsid w:val="005C24B2"/>
    <w:rsid w:val="005F0F32"/>
    <w:rsid w:val="00661236"/>
    <w:rsid w:val="006C25CA"/>
    <w:rsid w:val="00722228"/>
    <w:rsid w:val="007E6C24"/>
    <w:rsid w:val="00897AD5"/>
    <w:rsid w:val="00900F5A"/>
    <w:rsid w:val="00977ADB"/>
    <w:rsid w:val="00B0503C"/>
    <w:rsid w:val="00C6544A"/>
    <w:rsid w:val="00C67152"/>
    <w:rsid w:val="00D21F57"/>
    <w:rsid w:val="00D86EA1"/>
    <w:rsid w:val="00D97A4B"/>
    <w:rsid w:val="00DE5F99"/>
    <w:rsid w:val="00E03B65"/>
    <w:rsid w:val="00E04C3C"/>
    <w:rsid w:val="00E6654C"/>
    <w:rsid w:val="00EC0252"/>
    <w:rsid w:val="00F07170"/>
    <w:rsid w:val="00FB0D19"/>
    <w:rsid w:val="1A41587B"/>
    <w:rsid w:val="2845564F"/>
    <w:rsid w:val="28944E1F"/>
    <w:rsid w:val="370E3DA7"/>
    <w:rsid w:val="39AC5A52"/>
    <w:rsid w:val="438F2B5A"/>
    <w:rsid w:val="46BF222D"/>
    <w:rsid w:val="48A02951"/>
    <w:rsid w:val="66D975D1"/>
    <w:rsid w:val="7FA55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autoRedefine/>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7"/>
    <w:autoRedefine/>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8"/>
    <w:autoRedefine/>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9"/>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0"/>
    <w:autoRedefine/>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1"/>
    <w:autoRedefine/>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2"/>
    <w:autoRedefine/>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autoRedefine/>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4"/>
    <w:autoRedefine/>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autoRedefine/>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6"/>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5"/>
    <w:autoRedefine/>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4">
    <w:name w:val="Table Grid"/>
    <w:basedOn w:val="13"/>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1 字符"/>
    <w:basedOn w:val="15"/>
    <w:link w:val="2"/>
    <w:autoRedefine/>
    <w:qFormat/>
    <w:uiPriority w:val="9"/>
    <w:rPr>
      <w:rFonts w:asciiTheme="majorHAnsi" w:hAnsiTheme="majorHAnsi" w:eastAsiaTheme="majorEastAsia" w:cstheme="majorBidi"/>
      <w:color w:val="104862" w:themeColor="accent1" w:themeShade="BF"/>
      <w:sz w:val="48"/>
      <w:szCs w:val="48"/>
    </w:rPr>
  </w:style>
  <w:style w:type="character" w:customStyle="1" w:styleId="17">
    <w:name w:val="标题 2 字符"/>
    <w:basedOn w:val="15"/>
    <w:link w:val="3"/>
    <w:autoRedefine/>
    <w:semiHidden/>
    <w:qFormat/>
    <w:uiPriority w:val="9"/>
    <w:rPr>
      <w:rFonts w:asciiTheme="majorHAnsi" w:hAnsiTheme="majorHAnsi" w:eastAsiaTheme="majorEastAsia" w:cstheme="majorBidi"/>
      <w:color w:val="104862" w:themeColor="accent1" w:themeShade="BF"/>
      <w:sz w:val="40"/>
      <w:szCs w:val="40"/>
    </w:rPr>
  </w:style>
  <w:style w:type="character" w:customStyle="1" w:styleId="18">
    <w:name w:val="标题 3 字符"/>
    <w:basedOn w:val="15"/>
    <w:link w:val="4"/>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标题 4 字符"/>
    <w:basedOn w:val="15"/>
    <w:link w:val="5"/>
    <w:autoRedefine/>
    <w:semiHidden/>
    <w:qFormat/>
    <w:uiPriority w:val="9"/>
    <w:rPr>
      <w:rFonts w:cstheme="majorBidi"/>
      <w:color w:val="104862" w:themeColor="accent1" w:themeShade="BF"/>
      <w:sz w:val="28"/>
      <w:szCs w:val="28"/>
    </w:rPr>
  </w:style>
  <w:style w:type="character" w:customStyle="1" w:styleId="20">
    <w:name w:val="标题 5 字符"/>
    <w:basedOn w:val="15"/>
    <w:link w:val="6"/>
    <w:autoRedefine/>
    <w:semiHidden/>
    <w:qFormat/>
    <w:uiPriority w:val="9"/>
    <w:rPr>
      <w:rFonts w:cstheme="majorBidi"/>
      <w:color w:val="104862" w:themeColor="accent1" w:themeShade="BF"/>
      <w:sz w:val="24"/>
      <w:szCs w:val="24"/>
    </w:rPr>
  </w:style>
  <w:style w:type="character" w:customStyle="1" w:styleId="21">
    <w:name w:val="标题 6 字符"/>
    <w:basedOn w:val="15"/>
    <w:link w:val="7"/>
    <w:autoRedefine/>
    <w:semiHidden/>
    <w:qFormat/>
    <w:uiPriority w:val="9"/>
    <w:rPr>
      <w:rFonts w:cstheme="majorBidi"/>
      <w:b/>
      <w:bCs/>
      <w:color w:val="104862" w:themeColor="accent1" w:themeShade="BF"/>
    </w:rPr>
  </w:style>
  <w:style w:type="character" w:customStyle="1" w:styleId="22">
    <w:name w:val="标题 7 字符"/>
    <w:basedOn w:val="15"/>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3">
    <w:name w:val="标题 8 字符"/>
    <w:basedOn w:val="15"/>
    <w:link w:val="9"/>
    <w:autoRedefine/>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4">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字符"/>
    <w:basedOn w:val="15"/>
    <w:link w:val="12"/>
    <w:autoRedefine/>
    <w:qFormat/>
    <w:uiPriority w:val="10"/>
    <w:rPr>
      <w:rFonts w:asciiTheme="majorHAnsi" w:hAnsiTheme="majorHAnsi" w:eastAsiaTheme="majorEastAsia" w:cstheme="majorBidi"/>
      <w:spacing w:val="-10"/>
      <w:kern w:val="28"/>
      <w:sz w:val="56"/>
      <w:szCs w:val="56"/>
    </w:rPr>
  </w:style>
  <w:style w:type="character" w:customStyle="1" w:styleId="26">
    <w:name w:val="副标题 字符"/>
    <w:basedOn w:val="15"/>
    <w:link w:val="11"/>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autoRedefine/>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引用 字符"/>
    <w:basedOn w:val="15"/>
    <w:link w:val="27"/>
    <w:autoRedefine/>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autoRedefine/>
    <w:qFormat/>
    <w:uiPriority w:val="34"/>
    <w:pPr>
      <w:ind w:left="720"/>
      <w:contextualSpacing/>
    </w:pPr>
  </w:style>
  <w:style w:type="character" w:customStyle="1" w:styleId="30">
    <w:name w:val="明显强调1"/>
    <w:basedOn w:val="15"/>
    <w:autoRedefine/>
    <w:qFormat/>
    <w:uiPriority w:val="21"/>
    <w:rPr>
      <w:i/>
      <w:iCs/>
      <w:color w:val="104862" w:themeColor="accent1" w:themeShade="BF"/>
    </w:rPr>
  </w:style>
  <w:style w:type="paragraph" w:styleId="31">
    <w:name w:val="Intense Quote"/>
    <w:basedOn w:val="1"/>
    <w:next w:val="1"/>
    <w:link w:val="32"/>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明显引用 字符"/>
    <w:basedOn w:val="15"/>
    <w:link w:val="31"/>
    <w:autoRedefine/>
    <w:qFormat/>
    <w:uiPriority w:val="30"/>
    <w:rPr>
      <w:i/>
      <w:iCs/>
      <w:color w:val="104862" w:themeColor="accent1" w:themeShade="BF"/>
    </w:rPr>
  </w:style>
  <w:style w:type="character" w:customStyle="1" w:styleId="33">
    <w:name w:val="明显参考1"/>
    <w:basedOn w:val="15"/>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svg"/><Relationship Id="rId7" Type="http://schemas.openxmlformats.org/officeDocument/2006/relationships/image" Target="media/image4.png"/><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6D4CD-01C9-463C-B962-956571EA5FD6}">
  <ds:schemaRefs/>
</ds:datastoreItem>
</file>

<file path=docProps/app.xml><?xml version="1.0" encoding="utf-8"?>
<Properties xmlns="http://schemas.openxmlformats.org/officeDocument/2006/extended-properties" xmlns:vt="http://schemas.openxmlformats.org/officeDocument/2006/docPropsVTypes">
  <Template>Normal</Template>
  <Pages>2</Pages>
  <Words>244</Words>
  <Characters>1397</Characters>
  <Lines>11</Lines>
  <Paragraphs>3</Paragraphs>
  <TotalTime>159</TotalTime>
  <ScaleCrop>false</ScaleCrop>
  <LinksUpToDate>false</LinksUpToDate>
  <CharactersWithSpaces>1638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2024-02-20T08:40:00Z</dcterms:created>
  <dc:creator>赟昊 权</dc:creator>
  <cp:lastModifiedBy>s9</cp:lastModifiedBy>
  <cp:lastPrinted>2024-02-21T10:15:00Z</cp:lastPrinted>
  <dcterms:modified xsi:type="dcterms:W3CDTF">2024-03-18T03:58:26Z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A3B9ED07C9554C00A07265E3534D2917_13</vt:lpwstr>
  </property>
</Properties>
</file>