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S10b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Per-SNP analysis within the deCODE exposure source (same assay as Supplementary Table S9, not an independent platform; N = 35,367–35,372 per SNP; zero overlap with all outcome cohorts).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Per-SNP analysis within the deCODE exposure source (same assay as Supplementary Table S9, not an independent platform; N = 35,367–35,372 per SNP; zero overlap with all outcome cohorts). (a) 11-instrument set (identical to the clumped primary) → IVW / MR-Egger / weighted median × {FinnGen R13 AMD, FinnGen R13 AD, IAMDGC late}: β, SE, P, N_matched = 11/11, F_mean = 36.7. (b) ε-tag single-SNP Wald (deCODE β/SE; Δ-method SE): rs429358 / rs71352239 / rs7412 × {same three outcomes}: β, SE, P. Directional comparison only; assay scales are not comparable. Source: revision/results/newassay/.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TableS10b_tag_wald.csv  (9 data rows x 11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tag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beta_exp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se_exp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beta_old_ref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beta_out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se_out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Wald_Beta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Wald_P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0.916117594254937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0.0931446161046634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7.92263690714125e-23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0.0136078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-4.46427289048474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0.226996182962173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4.15733081384417e-86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-0.38446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0.0287282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1.72558348294434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0.154165953435585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4.41118988452365e-29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0.0250948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0.0142724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0.101107171635778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0.0576176252156769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0.0792942277148287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-0.291905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0.0134978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-1.17608783239323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0.0687982281163641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1.62418363644494e-65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0.0424032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0.0191527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0.170842868654311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0.0774088060457159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0.0273125849144866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0.0273452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-0.706188405797102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0.144786092763252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1.07460518717495e-06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-0.523179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0.0292934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2.5274347826087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0.254973200737795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3.67150939280247e-23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0.154967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0.0320748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-0.748632850241546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0.167202097833094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7.55529929642932e-06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