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Cross-cohort PIP audit (SuSiE fine-mapping; four cohorts: FinnGen R13 AD, FinnGen R13 AMD, IAMDGC late AMD and Kunkle 2019 AD — the Kunkle column is carried for completeness, its fine-mapping did not converge): the 13 variants with max PIP = 1.0 in at least one cohort, with per-cohort PIPs; neither disease signal resolves to a single causal variant within the APOE block. Source: `revision/76_remake_tables.R` (inputs `revision/results/r13/finemap_ad_finngen_pip.csv`, `revision/results/r13/finemap_ad_kunkle_pip.csv`, `revision/results/finemap_amd_r13_pip.csv`, `revision/results/iamdgc_apoe_finemap_pip.csv`).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TableS11_pip_cross_cohort.csv  (13 data rows x 7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IAMDGC_late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maxPIP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5.91303579207114e-05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rs440446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45409167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9.98821608755307e-08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1.80517822911952e-11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2.02445060715206e-10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1.31794575253252e-12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0.998825671753274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3.68416963603124e-10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1.36080036128305e-12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rs814573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45424351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45424514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rs11673093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6.36445263157981e-09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0.00263424444638949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rs183657985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45742498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0.00216872691743608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rs145605569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45742902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7.2471608714153e-09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0.00372888846087893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