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S14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IAMDGC first-validation robustness grid (APOE pQTL re-clumped at r² ∈ {0.0001, 0.001, 0.01} × {5, 10} Mb → IAMDGC late AMD; IVW / MR-Egger / weighted median).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IAMDGC first-validation robustness grid (APOE pQTL re-clumped at r² ∈ {0.0001, 0.001, 0.01} × {5, 10} Mb → IAMDGC late AMD; IVW / MR-Egger / weighted median). Source: `revision/results/primary_anchor/`.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TableS14_iamdgc_grid.csv  (18 data rows x 10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