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S15a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Per-SNP analysis within the deCODE exposure source (same assay as Supplementary Table S12, not an independent platform; N = 35,367–35,372 per SNP; zero overlap with all outcome cohorts).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Per-SNP analysis within the deCODE exposure source (same assay as Supplementary Table S12, not an independent platform; N = 35,367–35,372 per SNP; zero overlap with all outcome cohorts). (a) 11-instrument set (identical to the clumped primary) → IVW / MR-Egger / weighted median × {FinnGen R13 AMD, FinnGen R13 AD, IAMDGC late}: β, SE, P, N_matched = 11/11, F_mean = 36.7. (b) ε-tag single-SNP Wald (deCODE β/SE; Δ-method SE): rs429358 / rs71352239 / rs7412 × {same three outcomes}: β, SE, P. Directional comparison only; assay scales are not comparable. Source: revision/results/newassay/.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TableS15a_11snp_mr.csv  (12 data rows x 8 columns)  |  manuscript: v92 (00_manuscript_NC_v92_20260911.md,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label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N_iv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F_mean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-0.130115292712067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0.226038475989424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0.564863011544558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0.203228596626261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0.219002633097482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0.353421418579261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0.132115102072102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0.594394168674854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0.824104869804025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0.294338505732999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0.170006645376782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0.0833919796137293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2.68108124253286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0.4131294151085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8.60139885362678e-11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-2.12660519592523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0.942408234144607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0.0240352854326554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0.597812233008591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2.28128234970807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0.793282153022378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-2.54022550733668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0.418660909847625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1.29915774369158e-09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-0.817425328554361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0.285126907798177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0.00414536950555226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0.236430489333495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0.25837767548002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0.360161323840756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-0.375386983265083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0.798636544085782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0.638330141473443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0.265622592983371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0.202923039107296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0.19054046909171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