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S17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 expression map of the disease-associated proteins (panel B and the criterion's full union) and of the APOE receptor/lipid-transport genes (tabulated here but **no longer drawn as a main-figure panel**) across the nine adult-reference retinal cell types (GSE230348, 524,726 cells — the same frozen matrix and labels as Figure 5B): per-gene, per-cell-type percentage of expressing cells and mean log-normalised expression. **The disease-protein list of panel B is defined by MR evidence rather than by prior selection**: it comprises the proteins reaching Bonferroni significance in at least one of the three proteome-wide GSMR scans (P &lt; 0.05/2,923; FinnGen R13 AMD and AD, IAMDGC late AMD, Jansen 2019) that are quantified in this map. **The union is nineteen proteins; eleven are drawn in panel B** (ACE, APOE, C2, CFB, CFD, CFHR2, CFHR4, CFHR5, EPHA1, PILRA, TREM2) and the other eight (CD177, CDSN, DXO, F13B, HLA-DRA, HLA-E, PLA2G2A, PVR) are reported here but not drawn. **CFH, C3 and CFI do not meet that criterion in any cohort** and are reported from the 19-protein negative-control panel instead. No detection filter is applied in panel B, so all eleven members that it draws are visible. Source: `revision/results/fig5_frozen/expression_map_591k_ext37.csv` (37 genes × 9 cell types; the eight additional genes were recomputed with the same pipeline, verified against `expression_map_591k.csv` entry by entry, 261 of 261 identical).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TableS17_celltype_expression_map.csv  (333 data rows x 6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pct_expressing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mean_lognorm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63.38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0.4946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90.50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2.8835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92.36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3.1075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49.95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39.99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criterion_union_drawn_in_B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98.43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3.9234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criterion_union_not_drawn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PVR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1.0188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complement_negative_control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0.2888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ABCG1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AXL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46.41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0.0665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33.27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0.4590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56.50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29.20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11.25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31.83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LRP8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35.53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0.4335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0.2870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MERTK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16.28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25.04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59.78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28.27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0.3593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37.17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SCARB1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41.61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0.5431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40.16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0.8345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34.98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21.69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53.37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0.8695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12.46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0.2806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SORL1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18.08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81.03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1.9659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TYROBP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10.64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14.74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receptor_lipid_axis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VLDLR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12.68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0.1598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