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S19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APOE-directed clinical development and target landscape (ClinicalTrials.gov API v2, Open Targets Platform API v4, 2026-09-09): trial, intervention, mechanism, phase, status, direction of effect on APOE, and the recorded pharmacogenomic safety liabilities.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APOE-directed clinical development and target landscape (ClinicalTrials.gov API v2, Open Targets Platform API v4, 2026-09-09): trial, intervention, mechanism, phase, status, direction of effect on APOE, and the recorded pharmacogenomic safety liabilities. Source: `docs/audit_20260909/DRUG_LANDSCAPE_20260909.md`.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TableS19_apoe_drug_landscape.csv  (12 data rows x 7 columns)  |  manuscript: v128 (00_manuscript_NC_v128_20260917.md)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source_id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intervention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mechanism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phase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direction_on_APOE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sponsor_or_database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NCT03634007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LX1001 (AAVrh.10-APOE2 gene therapy)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intrathecal delivery of APOE2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1/2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COMPLETED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raises APOE (APOE2)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Lexeo Therapeutics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NCT05400330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LX1001 long-term follow-up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intrathecal delivery of APOE2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ACTIVE_NOT_RECRUITING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raises APOE (APOE2)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Lexeo Therapeutics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NCT04693520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ALZ-801 (oral APOE4-conformation modulator)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stabilises APOE4 conformation; APOE level unchanged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COMPLETED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 change in APOE level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Alzheon Inc.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NCT04770220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ALZ-801 (APOLLOE4)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stabilises APOE4 conformation; APOE level unchanged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COMPLETED (primary endpoint not met)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 change in APOE level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Alzheon Inc.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NCT06304883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ALZ-801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APOE4-conformation modulator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TERMINATED (sponsor business decision)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 change in APOE level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Alzheon Inc.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NCT07234942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RO7812653 / RG6627 (APOE antisense oligonucleotide)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ASO degrading APOE mRNA; designed to lower APOE in CNS but not peripheral tissues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ACTIVE_NOT_RECRUITING (started 2026-01-27)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lowers APOE (CNS)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F. Hoffmann-La Roche / Ionis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preclinical (no NCT)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Voyager APOE programme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knockdown of APOE4 plus delivery of APOE2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preclinical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total APOE maintained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Voyager Therapeutics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1/2 (non-AD indication)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CN-105 (APOE-mimetic peptide)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receptor mimetic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1/2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 change in APOE level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registered drug / clinical candidates against APOE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count = 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 Platform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tractability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SM: structure with ligand; AB: secreted (UniProt loc high conf, GO CC high conf, signal peptide); PR: ubiquitination, half-life data; no Approved Drug / Advanced Clinical / Phase 1 Clinical bucket true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antibody / ASO routes plausible; no small-molecule pocket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 Platform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safety liabilities (ClinPGx)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elevated triglycerides; hypertriglyceridaemia; elevated plasma lipids; haemorrhage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lipid-related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 Platform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note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direction of the MR exposure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our causal estimates are built on circulating (plasma) APOE abundance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LX1001 and RO7812653 are CNS-directed; their effect on plasma APOE is not established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this study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