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Proteome-wide GSMR scan in the FinnGen R13 discovery cohort (2,923 proteins assayed; 679 with a GSMR estimate; per-protein β, SE, P, number of cis-pQTL instruments and HEIDI status; Bonferroni hits 8 AMD / 3 AD; BH-FDR hits 16 / 6).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Proteome-wide GSMR scan in the FinnGen R13 discovery cohort (2,923 proteins assayed; 679 with a GSMR estimate; per-protein β, SE, P, number of cis-pQTL instruments and HEIDI status; Bonferroni hits 8 AMD / 3 AD; BH-FDR hits 16 / 6). Source: `pqtl_gsmr_results/pqtl_gsmr_v2_full.csv` (AMD) and `pqtl_gsmr_results/pqtl_gsmr_v2_AD_full.csv` (AD).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TableS1_data_resources.csv  (18 data rows x 5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Resource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Sample size (as stated in the manuscript)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Role in this study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Accession / 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H7_AMD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GWAS, late AMD (discovery)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 = 472,750 (13,947 cases / 458,803 controls)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Discovery cohort for all primary MR estimates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https://www.finngen.fi/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DRY_AMD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GWAS, dry AMD subtype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9,533 cases / 333,701 controls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subtype consistency (Supp. Table S21)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https://www.finngen.fi/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WET_AMD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GWAS, wet AMD subtype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7,529 cases / 335,608 controls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subtype consistency (Supp. Table S21)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https://www.finngen.fi/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G6_ALZHEIMER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GWAS, Alzheimer's disease (discovery)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 = 500,186 (16,652 cases)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Discovery cohort for all primary MR estimates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https://www.finngen.fi/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GWAS, late AMD (first validation)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 = 32,339 (16,144 late cases)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 cohort (AMD)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Fritsche 2016; dbGaP phs001039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 2019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GWAS, AD (first validation)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 = 455,258 (71,880 cases + 383,378 controls)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First validation cohort (AD)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Nat Genet 2019 supplementary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Million Veteran Program (MVP)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GWAS, AMD PheCode 362_2 (second validation)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70,936 cases / 536,119 controls (EUR 58,583; AFR 7,126; AMR 4,642; EAS 585)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Second validation cohort, trans-ancestry (AMD)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dbGaP phs002453.v1.p1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 2022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GWAS, AD (second validation)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111,326 cases + 677,663 controls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Second validation (AD); MAGMA gene set for scDRS/seismic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 Catalog GCST90027158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Kunkle 2019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GWAS, AD (sensitivity)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 = 94,437 (35,274 cases / 59,163 controls)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epsilon-4 dose-response pooling and direction check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NIAGADS NG00075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UKB-PPP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Plasma pQTL (exposure, primary)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2,923 proteins assayed; pQTL analysis N ~ 34,000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exposure instrument source (cis-pQTL)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Synapse syn51365303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 (Icelandic Olink)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Plasma pQTL (exposure, second source)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 = 35,367-35,372 per SNP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Second exposure source (zero sample overlap)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https://www.decode.com/summarydata/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GSE230348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Single-cell RNA-seq (retina + RPE/choroid)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591,456 cells (75 samples)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Cell-type layer (Figure 5)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GEO GSE230348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GSE137537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Single-cell RNA-seq (adult retina reference)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(manuscript gives no cell count for the reference itself)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Adult-reference nine-type labelling transferred onto GSE230348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GEO GSE137537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GSE183320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Single-cell RNA-seq (choroid)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(manuscript gives no cell count)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RPE-choroid side labelling (66,730 cells)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GEO GSE183320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GSE263862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Single-cell RNA-seq (human astrocytes; external validation)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 siAPOE vs 1 non-targeting control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External validation of the perturbation layer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GEO GSE263862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GTEx v11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eQTL (multi-tissue)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Cross-tissue expression layer (exploratory)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https://gtexportal.org/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MSigDB C2:CP:KEGG / hallmark 2023.1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 sets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186 KEGG sets; 50 hallmark sets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Pathway enrichment (fgsea)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https://www.gsea-msigdb.org/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FDA FAERS + CVARD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Pharmacovigilance reports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Drug-safety screen (Supp. Table S4)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fis.fda.gov; CVARD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